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rPr>
          <w:rFonts w:hint="eastAsia" w:ascii="宋体" w:hAnsi="宋体" w:cs="宋体"/>
          <w:b/>
          <w:sz w:val="72"/>
          <w:highlight w:val="none"/>
        </w:rPr>
      </w:pPr>
      <w:r>
        <w:rPr>
          <w:rFonts w:hint="eastAsia" w:ascii="宋体" w:hAnsi="宋体" w:cs="宋体"/>
          <w:b/>
          <w:sz w:val="72"/>
          <w:highlight w:val="none"/>
        </w:rPr>
      </w:r>
      <w:r/>
    </w:p>
    <w:p>
      <w:pPr>
        <w:pStyle w:val="939"/>
        <w:rPr>
          <w:rFonts w:hint="eastAsia" w:ascii="宋体" w:hAnsi="宋体" w:cs="宋体"/>
          <w:b/>
          <w:sz w:val="72"/>
          <w:highlight w:val="none"/>
        </w:rPr>
      </w:pPr>
      <w:r>
        <w:rPr>
          <w:rFonts w:hint="eastAsia" w:ascii="宋体" w:hAnsi="宋体" w:cs="宋体"/>
          <w:b/>
          <w:sz w:val="72"/>
          <w:highlight w:val="none"/>
        </w:rPr>
      </w:r>
      <w:r/>
    </w:p>
    <w:p>
      <w:pPr>
        <w:pStyle w:val="939"/>
        <w:jc w:val="center"/>
        <w:rPr>
          <w:rFonts w:hint="eastAsia" w:ascii="宋体" w:hAnsi="宋体"/>
          <w:b/>
          <w:sz w:val="72"/>
          <w:highlight w:val="none"/>
        </w:rPr>
      </w:pPr>
      <w:r>
        <w:rPr>
          <w:rFonts w:hint="eastAsia" w:ascii="宋体" w:hAnsi="宋体"/>
          <w:b/>
          <w:sz w:val="72"/>
          <w:highlight w:val="none"/>
        </w:rPr>
        <w:t xml:space="preserve">苏 州 政 府 采 购</w:t>
      </w:r>
      <w:r>
        <w:rPr>
          <w:rFonts w:hint="eastAsia" w:ascii="宋体" w:hAnsi="宋体"/>
          <w:b/>
          <w:sz w:val="72"/>
          <w:highlight w:val="none"/>
        </w:rPr>
      </w:r>
      <w:r/>
    </w:p>
    <w:p>
      <w:pPr>
        <w:pStyle w:val="939"/>
        <w:jc w:val="center"/>
        <w:rPr>
          <w:rFonts w:ascii="宋体" w:hAnsi="宋体"/>
          <w:b/>
          <w:sz w:val="72"/>
          <w:highlight w:val="none"/>
        </w:rPr>
      </w:pPr>
      <w:r>
        <w:rPr>
          <w:rFonts w:hint="eastAsia" w:ascii="宋体" w:hAnsi="宋体"/>
          <w:b/>
          <w:sz w:val="72"/>
          <w:highlight w:val="none"/>
        </w:rPr>
        <w:t xml:space="preserve">竞争性磋商文件</w:t>
      </w:r>
      <w:r>
        <w:rPr>
          <w:rFonts w:ascii="宋体" w:hAnsi="宋体"/>
          <w:b/>
          <w:sz w:val="72"/>
          <w:highlight w:val="none"/>
        </w:rPr>
      </w:r>
      <w:r/>
    </w:p>
    <w:p>
      <w:pPr>
        <w:pStyle w:val="939"/>
        <w:rPr>
          <w:rFonts w:hint="eastAsia" w:ascii="宋体" w:hAnsi="宋体" w:cs="宋体"/>
          <w:b/>
          <w:sz w:val="48"/>
          <w:highlight w:val="none"/>
        </w:rPr>
      </w:pPr>
      <w:r>
        <w:rPr>
          <w:rFonts w:hint="eastAsia" w:ascii="宋体" w:hAnsi="宋体" w:cs="宋体"/>
          <w:b/>
          <w:sz w:val="48"/>
          <w:highlight w:val="none"/>
        </w:rPr>
      </w:r>
      <w:r/>
    </w:p>
    <w:p>
      <w:pPr>
        <w:pStyle w:val="939"/>
        <w:rPr>
          <w:rFonts w:hint="eastAsia" w:ascii="宋体" w:hAnsi="宋体" w:cs="宋体"/>
          <w:b/>
          <w:sz w:val="48"/>
          <w:highlight w:val="none"/>
        </w:rPr>
      </w:pPr>
      <w:r>
        <w:rPr>
          <w:rFonts w:hint="eastAsia" w:ascii="宋体" w:hAnsi="宋体" w:cs="宋体"/>
          <w:b/>
          <w:sz w:val="48"/>
          <w:highlight w:val="none"/>
        </w:rPr>
      </w:r>
      <w:r/>
    </w:p>
    <w:p>
      <w:pPr>
        <w:pStyle w:val="939"/>
        <w:rPr>
          <w:rFonts w:hint="eastAsia" w:ascii="宋体" w:hAnsi="宋体" w:cs="宋体"/>
          <w:b/>
          <w:sz w:val="48"/>
          <w:highlight w:val="none"/>
        </w:rPr>
      </w:pPr>
      <w:r>
        <w:rPr>
          <w:rFonts w:hint="eastAsia" w:ascii="宋体" w:hAnsi="宋体" w:cs="宋体"/>
          <w:b/>
          <w:sz w:val="48"/>
          <w:highlight w:val="none"/>
        </w:rPr>
      </w:r>
      <w:r/>
    </w:p>
    <w:p>
      <w:pPr>
        <w:pStyle w:val="1016"/>
        <w:ind w:firstLine="964"/>
        <w:rPr>
          <w:rFonts w:hint="eastAsia" w:hAnsi="宋体" w:cs="宋体"/>
          <w:b/>
          <w:sz w:val="48"/>
          <w:highlight w:val="none"/>
        </w:rPr>
      </w:pPr>
      <w:r>
        <w:rPr>
          <w:rFonts w:hint="eastAsia" w:hAnsi="宋体" w:cs="宋体"/>
          <w:b/>
          <w:sz w:val="48"/>
          <w:highlight w:val="none"/>
        </w:rPr>
      </w:r>
      <w:r/>
    </w:p>
    <w:p>
      <w:pPr>
        <w:pStyle w:val="939"/>
        <w:rPr>
          <w:rFonts w:hint="eastAsia" w:ascii="宋体" w:hAnsi="宋体" w:cs="宋体"/>
          <w:b/>
          <w:sz w:val="48"/>
          <w:highlight w:val="none"/>
        </w:rPr>
      </w:pPr>
      <w:r>
        <w:rPr>
          <w:rFonts w:hint="eastAsia" w:ascii="宋体" w:hAnsi="宋体" w:cs="宋体"/>
          <w:b/>
          <w:sz w:val="48"/>
          <w:highlight w:val="none"/>
        </w:rPr>
      </w:r>
      <w:r/>
    </w:p>
    <w:p>
      <w:pPr>
        <w:pStyle w:val="1016"/>
        <w:ind w:firstLine="480"/>
        <w:rPr>
          <w:rFonts w:hAnsi="宋体" w:cs="宋体"/>
          <w:highlight w:val="none"/>
        </w:rPr>
      </w:pPr>
      <w:r>
        <w:rPr>
          <w:rFonts w:hint="eastAsia" w:hAnsi="宋体" w:cs="宋体"/>
          <w:highlight w:val="none"/>
        </w:rPr>
        <w:t xml:space="preserve">       </w:t>
      </w:r>
      <w:r>
        <w:rPr>
          <w:rFonts w:hAnsi="宋体" w:cs="宋体"/>
          <w:highlight w:val="none"/>
        </w:rPr>
      </w:r>
      <w:r/>
    </w:p>
    <w:p>
      <w:pPr>
        <w:pStyle w:val="939"/>
        <w:ind w:firstLine="1928"/>
        <w:spacing w:line="360" w:lineRule="auto"/>
        <w:rPr>
          <w:rFonts w:hint="eastAsia" w:ascii="宋体" w:hAnsi="宋体" w:eastAsia="宋体"/>
          <w:b/>
          <w:spacing w:val="-6"/>
          <w:sz w:val="32"/>
          <w:highlight w:val="none"/>
          <w:lang w:eastAsia="zh-CN"/>
        </w:rPr>
      </w:pPr>
      <w:r>
        <w:rPr>
          <w:rFonts w:hint="eastAsia" w:ascii="宋体" w:hAnsi="宋体" w:cs="宋体"/>
          <w:b/>
          <w:sz w:val="32"/>
          <w:szCs w:val="32"/>
          <w:highlight w:val="none"/>
        </w:rPr>
        <w:t xml:space="preserve">磋商编号：</w:t>
      </w:r>
      <w:r>
        <w:rPr>
          <w:rFonts w:hint="eastAsia" w:ascii="宋体" w:hAnsi="宋体"/>
          <w:b/>
          <w:spacing w:val="-6"/>
          <w:sz w:val="32"/>
          <w:highlight w:val="none"/>
          <w:lang w:eastAsia="zh-CN"/>
        </w:rPr>
        <w:t xml:space="preserve">JSZC-320506-HWZX-C2025-0957</w:t>
      </w:r>
      <w:r>
        <w:rPr>
          <w:rFonts w:hint="eastAsia" w:ascii="宋体" w:hAnsi="宋体" w:eastAsia="宋体"/>
          <w:b/>
          <w:spacing w:val="-6"/>
          <w:sz w:val="32"/>
          <w:highlight w:val="none"/>
          <w:lang w:eastAsia="zh-CN"/>
        </w:rPr>
      </w:r>
      <w:r/>
    </w:p>
    <w:p>
      <w:pPr>
        <w:pStyle w:val="939"/>
        <w:ind w:firstLine="1928"/>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采购单位：</w:t>
      </w:r>
      <w:r>
        <w:rPr>
          <w:rFonts w:hint="eastAsia" w:ascii="宋体" w:hAnsi="宋体"/>
          <w:b/>
          <w:spacing w:val="-6"/>
          <w:sz w:val="32"/>
          <w:highlight w:val="none"/>
        </w:rPr>
        <w:t xml:space="preserve">苏州市吴中区水费管理所</w:t>
      </w:r>
      <w:r>
        <w:rPr>
          <w:rFonts w:hint="eastAsia" w:ascii="宋体" w:hAnsi="宋体" w:cs="宋体"/>
          <w:b/>
          <w:sz w:val="32"/>
          <w:szCs w:val="32"/>
          <w:highlight w:val="none"/>
        </w:rPr>
      </w:r>
      <w:r/>
    </w:p>
    <w:p>
      <w:pPr>
        <w:pStyle w:val="939"/>
        <w:ind w:left="2929" w:hanging="986"/>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磋商内容：</w:t>
      </w:r>
      <w:r>
        <w:rPr>
          <w:rFonts w:hint="eastAsia" w:ascii="宋体" w:hAnsi="宋体"/>
          <w:b/>
          <w:spacing w:val="-6"/>
          <w:sz w:val="32"/>
          <w:highlight w:val="none"/>
        </w:rPr>
        <w:t xml:space="preserve">水资源及供水水质监测</w:t>
      </w:r>
      <w:r>
        <w:rPr>
          <w:rFonts w:hint="eastAsia" w:ascii="宋体" w:hAnsi="宋体" w:cs="宋体"/>
          <w:b/>
          <w:sz w:val="32"/>
          <w:szCs w:val="32"/>
          <w:highlight w:val="none"/>
        </w:rPr>
      </w:r>
      <w:r/>
    </w:p>
    <w:p>
      <w:pPr>
        <w:pStyle w:val="939"/>
        <w:ind w:firstLine="1928"/>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采购类别：服务类</w:t>
      </w:r>
      <w:r>
        <w:rPr>
          <w:rFonts w:hint="eastAsia" w:ascii="宋体" w:hAnsi="宋体" w:cs="宋体"/>
          <w:b/>
          <w:sz w:val="32"/>
          <w:szCs w:val="32"/>
          <w:highlight w:val="none"/>
        </w:rPr>
      </w:r>
      <w:r/>
    </w:p>
    <w:p>
      <w:pPr>
        <w:pStyle w:val="939"/>
        <w:spacing w:line="360" w:lineRule="auto"/>
        <w:rPr>
          <w:rFonts w:hint="eastAsia" w:ascii="宋体" w:hAnsi="宋体" w:cs="宋体"/>
          <w:b/>
          <w:sz w:val="28"/>
          <w:highlight w:val="none"/>
        </w:rPr>
      </w:pPr>
      <w:r>
        <w:rPr>
          <w:rFonts w:hint="eastAsia" w:ascii="宋体" w:hAnsi="宋体" w:cs="宋体"/>
          <w:b/>
          <w:sz w:val="28"/>
          <w:highlight w:val="none"/>
        </w:rPr>
      </w:r>
      <w:r/>
    </w:p>
    <w:p>
      <w:pPr>
        <w:pStyle w:val="939"/>
        <w:rPr>
          <w:rFonts w:hint="eastAsia" w:ascii="宋体" w:hAnsi="宋体" w:cs="宋体"/>
          <w:sz w:val="28"/>
          <w:highlight w:val="none"/>
        </w:rPr>
      </w:pPr>
      <w:r>
        <w:rPr>
          <w:rFonts w:hint="eastAsia" w:ascii="宋体" w:hAnsi="宋体" w:cs="宋体"/>
          <w:sz w:val="28"/>
          <w:highlight w:val="none"/>
        </w:rPr>
      </w:r>
      <w:r/>
    </w:p>
    <w:p>
      <w:pPr>
        <w:pStyle w:val="939"/>
        <w:jc w:val="center"/>
        <w:rPr>
          <w:rFonts w:hint="eastAsia" w:ascii="宋体" w:hAnsi="宋体" w:cs="宋体"/>
          <w:b/>
          <w:sz w:val="32"/>
          <w:highlight w:val="none"/>
        </w:rPr>
      </w:pPr>
      <w:r>
        <w:rPr>
          <w:rFonts w:hint="eastAsia" w:ascii="宋体" w:hAnsi="宋体" w:cs="宋体"/>
          <w:b/>
          <w:sz w:val="32"/>
          <w:highlight w:val="none"/>
        </w:rPr>
        <w:t xml:space="preserve">江苏海外集团国际工程咨询有限公司</w:t>
      </w:r>
      <w:r>
        <w:rPr>
          <w:rFonts w:hint="eastAsia" w:ascii="宋体" w:hAnsi="宋体" w:cs="宋体"/>
          <w:b/>
          <w:sz w:val="32"/>
          <w:highlight w:val="none"/>
        </w:rPr>
      </w:r>
      <w:r/>
    </w:p>
    <w:p>
      <w:pPr>
        <w:pStyle w:val="939"/>
        <w:jc w:val="center"/>
        <w:rPr>
          <w:rFonts w:hint="eastAsia" w:ascii="宋体" w:hAnsi="宋体" w:cs="宋体"/>
          <w:b/>
          <w:sz w:val="32"/>
          <w:highlight w:val="none"/>
        </w:rPr>
      </w:pPr>
      <w:r>
        <w:rPr>
          <w:rFonts w:hint="eastAsia" w:ascii="宋体" w:hAnsi="宋体" w:cs="宋体"/>
          <w:b/>
          <w:sz w:val="32"/>
          <w:highlight w:val="none"/>
        </w:rPr>
        <w:t xml:space="preserve">2025年12月</w:t>
      </w:r>
      <w:r>
        <w:rPr>
          <w:rFonts w:hint="eastAsia" w:ascii="宋体" w:hAnsi="宋体" w:cs="宋体"/>
          <w:b/>
          <w:sz w:val="32"/>
          <w:highlight w:val="none"/>
        </w:rPr>
      </w:r>
      <w:r/>
    </w:p>
    <w:p>
      <w:pPr>
        <w:pStyle w:val="939"/>
        <w:rPr>
          <w:rFonts w:hint="eastAsia" w:ascii="宋体" w:hAnsi="宋体" w:cs="宋体"/>
          <w:b/>
          <w:highlight w:val="none"/>
        </w:rPr>
      </w:pPr>
      <w:r>
        <w:rPr>
          <w:rFonts w:hint="eastAsia" w:ascii="宋体" w:hAnsi="宋体" w:cs="宋体"/>
          <w:b/>
          <w:highlight w:val="none"/>
        </w:rPr>
      </w:r>
      <w:r/>
    </w:p>
    <w:p>
      <w:pPr>
        <w:pStyle w:val="939"/>
        <w:jc w:val="center"/>
        <w:spacing w:line="360" w:lineRule="auto"/>
        <w:rPr>
          <w:rFonts w:hint="eastAsia" w:ascii="宋体" w:hAnsi="宋体" w:cs="宋体"/>
          <w:b/>
          <w:sz w:val="36"/>
          <w:highlight w:val="none"/>
        </w:rPr>
      </w:pPr>
      <w:r>
        <w:rPr>
          <w:rFonts w:hint="eastAsia" w:ascii="宋体" w:hAnsi="宋体" w:cs="宋体"/>
          <w:highlight w:val="none"/>
        </w:rPr>
        <w:br w:type="page" w:clear="all"/>
      </w:r>
      <w:r>
        <w:rPr>
          <w:rFonts w:hint="eastAsia" w:ascii="宋体" w:hAnsi="宋体" w:cs="宋体"/>
          <w:b/>
          <w:sz w:val="36"/>
          <w:highlight w:val="none"/>
        </w:rPr>
        <w:t xml:space="preserve">前附表</w:t>
      </w:r>
      <w:r>
        <w:rPr>
          <w:rFonts w:hint="eastAsia" w:ascii="宋体" w:hAnsi="宋体" w:cs="宋体"/>
          <w:b/>
          <w:sz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pStyle w:val="939"/>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2505" w:type="dxa"/>
            <w:vAlign w:val="center"/>
            <w:textDirection w:val="lrTb"/>
            <w:noWrap w:val="false"/>
          </w:tcPr>
          <w:p>
            <w:pPr>
              <w:pStyle w:val="939"/>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内容</w:t>
            </w:r>
            <w:r>
              <w:rPr>
                <w:rFonts w:hint="eastAsia" w:ascii="宋体" w:hAnsi="宋体" w:cs="宋体"/>
                <w:b/>
                <w:sz w:val="24"/>
                <w:szCs w:val="24"/>
                <w:highlight w:val="none"/>
              </w:rPr>
            </w:r>
            <w:r/>
          </w:p>
        </w:tc>
        <w:tc>
          <w:tcPr>
            <w:tcW w:w="6574" w:type="dxa"/>
            <w:vAlign w:val="center"/>
            <w:textDirection w:val="lrTb"/>
            <w:noWrap w:val="false"/>
          </w:tcPr>
          <w:p>
            <w:pPr>
              <w:pStyle w:val="939"/>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规定</w:t>
            </w:r>
            <w:r>
              <w:rPr>
                <w:rFonts w:hint="eastAsia" w:ascii="宋体" w:hAnsi="宋体" w:cs="宋体"/>
                <w:b/>
                <w:sz w:val="24"/>
                <w:szCs w:val="24"/>
                <w:highlight w:val="none"/>
              </w:rPr>
            </w:r>
            <w:r/>
          </w:p>
        </w:tc>
      </w:tr>
      <w:tr>
        <w:trPr>
          <w:trHeight w:val="37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505" w:type="dxa"/>
            <w:vAlign w:val="bottom"/>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sz w:val="24"/>
                <w:szCs w:val="24"/>
                <w:highlight w:val="none"/>
              </w:rPr>
              <w:t xml:space="preserve">水资源及供水水质监测</w:t>
            </w:r>
            <w:r>
              <w:rPr>
                <w:rFonts w:hint="eastAsia" w:ascii="宋体" w:hAnsi="宋体" w:cs="宋体"/>
                <w:sz w:val="24"/>
                <w:szCs w:val="24"/>
                <w:highlight w:val="none"/>
              </w:rPr>
            </w:r>
            <w:r/>
          </w:p>
        </w:tc>
      </w:tr>
      <w:tr>
        <w:trPr>
          <w:trHeight w:val="37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505" w:type="dxa"/>
            <w:vAlign w:val="bottom"/>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服务期限</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签订合同之日起1年（具体起始时间按采购单位要求）</w:t>
            </w:r>
            <w:r>
              <w:rPr>
                <w:rFonts w:hint="eastAsia" w:ascii="宋体" w:hAnsi="宋体" w:cs="宋体"/>
                <w:sz w:val="24"/>
                <w:szCs w:val="24"/>
                <w:highlight w:val="none"/>
              </w:rPr>
            </w:r>
            <w:r/>
          </w:p>
        </w:tc>
      </w:tr>
      <w:tr>
        <w:trPr>
          <w:trHeight w:val="37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采购预算</w:t>
            </w:r>
            <w:r>
              <w:rPr>
                <w:rFonts w:hint="eastAsia" w:ascii="宋体" w:hAnsi="宋体" w:cs="宋体"/>
                <w:sz w:val="24"/>
                <w:szCs w:val="24"/>
                <w:highlight w:val="none"/>
              </w:rPr>
            </w:r>
            <w:r/>
          </w:p>
        </w:tc>
        <w:tc>
          <w:tcPr>
            <w:tcW w:w="6574" w:type="dxa"/>
            <w:vAlign w:val="center"/>
            <w:textDirection w:val="lrTb"/>
            <w:noWrap w:val="false"/>
          </w:tcPr>
          <w:p>
            <w:pPr>
              <w:pStyle w:val="1042"/>
              <w:ind w:firstLine="0"/>
              <w:tabs>
                <w:tab w:val="left" w:pos="808" w:leader="none"/>
              </w:tabs>
              <w:rPr>
                <w:rFonts w:hint="eastAsia" w:ascii="宋体" w:hAnsi="宋体" w:cs="宋体"/>
                <w:sz w:val="24"/>
                <w:szCs w:val="24"/>
                <w:highlight w:val="none"/>
              </w:rPr>
            </w:pPr>
            <w:r>
              <w:rPr>
                <w:rFonts w:hint="eastAsia" w:ascii="宋体" w:hAnsi="宋体" w:cs="宋体"/>
                <w:sz w:val="24"/>
                <w:szCs w:val="24"/>
                <w:highlight w:val="none"/>
              </w:rPr>
              <w:t xml:space="preserve">预算金额：66万元</w:t>
            </w:r>
            <w:r>
              <w:rPr>
                <w:rFonts w:hint="eastAsia" w:ascii="宋体" w:hAnsi="宋体" w:cs="宋体"/>
                <w:sz w:val="24"/>
                <w:szCs w:val="24"/>
                <w:highlight w:val="none"/>
              </w:rPr>
            </w:r>
            <w:r/>
          </w:p>
          <w:p>
            <w:pPr>
              <w:pStyle w:val="981"/>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rPr>
            </w:r>
            <w:r/>
          </w:p>
          <w:p>
            <w:pPr>
              <w:pStyle w:val="981"/>
              <w:spacing w:line="360" w:lineRule="auto"/>
              <w:rPr>
                <w:highlight w:val="none"/>
              </w:rPr>
            </w:pPr>
            <w:r>
              <w:rPr>
                <w:rFonts w:hint="eastAsia" w:ascii="宋体" w:hAnsi="宋体" w:cs="宋体"/>
                <w:sz w:val="24"/>
                <w:szCs w:val="24"/>
                <w:highlight w:val="none"/>
              </w:rPr>
              <w:t xml:space="preserve">一标段预算金额：33.5万元</w:t>
            </w:r>
            <w:r>
              <w:rPr>
                <w:highlight w:val="none"/>
              </w:rPr>
            </w:r>
            <w:r/>
          </w:p>
          <w:p>
            <w:pPr>
              <w:pStyle w:val="939"/>
              <w:spacing w:line="360" w:lineRule="auto"/>
              <w:rPr>
                <w:highlight w:val="none"/>
              </w:rPr>
            </w:pPr>
            <w:r>
              <w:rPr>
                <w:rFonts w:hint="eastAsia" w:ascii="宋体" w:hAnsi="宋体" w:cs="宋体"/>
                <w:sz w:val="24"/>
                <w:szCs w:val="24"/>
                <w:highlight w:val="none"/>
              </w:rPr>
              <w:t xml:space="preserve">二标段预算金额：32.5万元</w:t>
            </w:r>
            <w:r>
              <w:rPr>
                <w:highlight w:val="none"/>
              </w:rPr>
            </w:r>
            <w:r/>
          </w:p>
        </w:tc>
      </w:tr>
      <w:tr>
        <w:trPr>
          <w:trHeight w:val="37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供应商特定资格条件</w:t>
            </w:r>
            <w:r>
              <w:rPr>
                <w:rFonts w:hint="eastAsia" w:ascii="宋体" w:hAnsi="宋体" w:cs="宋体"/>
                <w:sz w:val="24"/>
                <w:szCs w:val="24"/>
                <w:highlight w:val="none"/>
              </w:rPr>
            </w:r>
            <w:r/>
          </w:p>
        </w:tc>
        <w:tc>
          <w:tcPr>
            <w:tcW w:w="6574" w:type="dxa"/>
            <w:vAlign w:val="center"/>
            <w:textDirection w:val="lrTb"/>
            <w:noWrap w:val="false"/>
          </w:tcPr>
          <w:p>
            <w:pPr>
              <w:pStyle w:val="957"/>
              <w:ind w:firstLine="0"/>
              <w:rPr>
                <w:rFonts w:hint="eastAsia"/>
                <w:sz w:val="20"/>
                <w:highlight w:val="none"/>
              </w:rPr>
            </w:pPr>
            <w:r>
              <w:rPr>
                <w:rFonts w:hint="eastAsia" w:ascii="宋体" w:hAnsi="宋体"/>
                <w:sz w:val="24"/>
                <w:szCs w:val="24"/>
                <w:highlight w:val="none"/>
              </w:rPr>
              <w:t xml:space="preserve">具有有效期内的检验检测机构资质认定证书</w:t>
            </w:r>
            <w:r>
              <w:rPr>
                <w:rFonts w:hint="eastAsia"/>
                <w:sz w:val="20"/>
                <w:highlight w:val="none"/>
              </w:rPr>
            </w:r>
            <w:r/>
          </w:p>
        </w:tc>
      </w:tr>
      <w:tr>
        <w:trPr>
          <w:trHeight w:val="445"/>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联合体磋商</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不接受</w:t>
            </w:r>
            <w:r>
              <w:rPr>
                <w:rFonts w:hint="eastAsia" w:ascii="宋体" w:hAnsi="宋体" w:cs="宋体"/>
                <w:sz w:val="24"/>
                <w:szCs w:val="24"/>
                <w:highlight w:val="none"/>
              </w:rPr>
            </w:r>
            <w:r/>
          </w:p>
        </w:tc>
      </w:tr>
      <w:tr>
        <w:trPr>
          <w:trHeight w:val="446"/>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现场考察</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不组织，自行考察</w:t>
            </w:r>
            <w:r>
              <w:rPr>
                <w:rFonts w:hint="eastAsia" w:ascii="宋体" w:hAnsi="宋体" w:cs="宋体"/>
                <w:sz w:val="24"/>
                <w:szCs w:val="24"/>
                <w:highlight w:val="none"/>
              </w:rPr>
            </w:r>
            <w:r/>
          </w:p>
        </w:tc>
      </w:tr>
      <w:tr>
        <w:trPr>
          <w:trHeight w:val="503"/>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响应文件份数</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成交单位</w:t>
            </w:r>
            <w:r>
              <w:rPr>
                <w:rFonts w:hint="eastAsia" w:ascii="宋体" w:hAnsi="宋体" w:cs="宋体"/>
                <w:b/>
                <w:bCs/>
                <w:sz w:val="24"/>
                <w:szCs w:val="24"/>
                <w:highlight w:val="none"/>
              </w:rPr>
              <w:t xml:space="preserve">成交后</w:t>
            </w:r>
            <w:r>
              <w:rPr>
                <w:rFonts w:hint="eastAsia" w:ascii="宋体" w:hAnsi="宋体" w:cs="宋体"/>
                <w:sz w:val="24"/>
                <w:szCs w:val="24"/>
                <w:highlight w:val="none"/>
              </w:rPr>
              <w:t xml:space="preserve">，提供三份响应文件副本，送至招标代理机构。</w:t>
            </w:r>
            <w:r>
              <w:rPr>
                <w:rFonts w:hint="eastAsia" w:ascii="宋体" w:hAnsi="宋体" w:cs="宋体"/>
                <w:sz w:val="24"/>
                <w:szCs w:val="24"/>
                <w:highlight w:val="none"/>
              </w:rPr>
            </w:r>
            <w:r/>
          </w:p>
        </w:tc>
      </w:tr>
      <w:tr>
        <w:trPr>
          <w:cantSplit/>
          <w:trHeight w:val="454"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磋商响应货币</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p>
        </w:tc>
      </w:tr>
      <w:tr>
        <w:trPr>
          <w:trHeight w:val="200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代理服务费</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成交服务费：服务费按苏财购告【2016】31号规定的收费标准，领取成交通知书时成交单位向采购代理机构一次性付清。</w:t>
            </w:r>
            <w:r>
              <w:rPr>
                <w:rFonts w:hint="eastAsia" w:ascii="宋体" w:hAnsi="宋体" w:cs="宋体"/>
                <w:sz w:val="24"/>
                <w:szCs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收费标准：预算金额100万以下费率为预算金额的1.5%；预算金额100万-500万费率为预算金额的1.1%。</w:t>
            </w:r>
            <w:r>
              <w:rPr>
                <w:rFonts w:hint="eastAsia" w:ascii="宋体" w:hAnsi="宋体" w:cs="宋体"/>
                <w:sz w:val="24"/>
                <w:szCs w:val="24"/>
                <w:highlight w:val="none"/>
              </w:rPr>
            </w:r>
            <w:r/>
          </w:p>
        </w:tc>
      </w:tr>
      <w:tr>
        <w:trPr>
          <w:trHeight w:val="461"/>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保证金</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无需提交，采购文件中关于保证金的规定均不适用于本项目。</w:t>
            </w:r>
            <w:r>
              <w:rPr>
                <w:rFonts w:hint="eastAsia" w:ascii="宋体" w:hAnsi="宋体" w:cs="宋体"/>
                <w:sz w:val="24"/>
                <w:szCs w:val="24"/>
                <w:highlight w:val="none"/>
                <w:u w:val="single"/>
              </w:rPr>
            </w:r>
            <w:r/>
          </w:p>
        </w:tc>
      </w:tr>
      <w:tr>
        <w:trPr>
          <w:trHeight w:val="633"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响应文件有效期</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日历天（从提交响应文件截止时间当日起算）</w:t>
            </w:r>
            <w:r>
              <w:rPr>
                <w:rFonts w:hint="eastAsia" w:ascii="宋体" w:hAnsi="宋体" w:cs="宋体"/>
                <w:sz w:val="24"/>
                <w:szCs w:val="24"/>
                <w:highlight w:val="none"/>
              </w:rPr>
            </w:r>
            <w:r/>
          </w:p>
        </w:tc>
      </w:tr>
      <w:tr>
        <w:trPr>
          <w:trHeight w:val="378"/>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响应文件提交（上传）截止时间</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时间：2026年1月4日13:30 </w:t>
            </w:r>
            <w:r>
              <w:rPr>
                <w:rFonts w:hint="eastAsia" w:ascii="宋体" w:hAnsi="宋体" w:cs="宋体"/>
                <w:sz w:val="24"/>
                <w:szCs w:val="24"/>
                <w:highlight w:val="none"/>
              </w:rPr>
            </w:r>
            <w:r/>
          </w:p>
        </w:tc>
      </w:tr>
      <w:tr>
        <w:trPr>
          <w:trHeight w:val="436"/>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磋商时间和地点</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时间：2026年1 月4日13:30 </w:t>
            </w:r>
            <w:r>
              <w:rPr>
                <w:rFonts w:hint="eastAsia" w:ascii="宋体" w:hAnsi="宋体" w:cs="宋体"/>
                <w:sz w:val="24"/>
                <w:szCs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苏采云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系统（网址：http://jszfcg.jsczt.cn/）</w:t>
            </w:r>
            <w:r>
              <w:rPr>
                <w:rFonts w:hint="eastAsia" w:ascii="宋体" w:hAnsi="宋体" w:cs="宋体"/>
                <w:sz w:val="24"/>
                <w:szCs w:val="24"/>
                <w:highlight w:val="none"/>
              </w:rPr>
            </w:r>
            <w:r/>
          </w:p>
        </w:tc>
      </w:tr>
      <w:tr>
        <w:trPr>
          <w:trHeight w:val="1330"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成交原则</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采用综合评分法，即在响应文件满足磋商文件全部实质性要求且按评审因素的量化指标评审得分最高的供应商为成交供应商。</w:t>
            </w:r>
            <w:r>
              <w:rPr>
                <w:rFonts w:hint="eastAsia" w:ascii="宋体" w:hAnsi="宋体" w:cs="宋体"/>
                <w:sz w:val="24"/>
                <w:szCs w:val="24"/>
                <w:highlight w:val="none"/>
              </w:rPr>
            </w:r>
            <w:r/>
          </w:p>
        </w:tc>
      </w:tr>
      <w:tr>
        <w:trPr>
          <w:trHeight w:val="639"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rPr>
            </w:r>
            <w:r/>
          </w:p>
        </w:tc>
        <w:tc>
          <w:tcPr>
            <w:tcW w:w="2505" w:type="dxa"/>
            <w:vAlign w:val="center"/>
            <w:textDirection w:val="lrTb"/>
            <w:noWrap w:val="false"/>
          </w:tcPr>
          <w:p>
            <w:pPr>
              <w:pStyle w:val="93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评审办法</w:t>
            </w:r>
            <w:r>
              <w:rPr>
                <w:rFonts w:hint="eastAsia" w:ascii="宋体" w:hAnsi="宋体" w:cs="宋体"/>
                <w:sz w:val="24"/>
                <w:szCs w:val="24"/>
                <w:highlight w:val="none"/>
              </w:rPr>
            </w:r>
            <w:r/>
          </w:p>
        </w:tc>
        <w:tc>
          <w:tcPr>
            <w:tcW w:w="6574" w:type="dxa"/>
            <w:vAlign w:val="center"/>
            <w:textDirection w:val="lrTb"/>
            <w:noWrap w:val="false"/>
          </w:tcPr>
          <w:p>
            <w:pPr>
              <w:pStyle w:val="93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详见第三章</w:t>
            </w:r>
            <w:r>
              <w:rPr>
                <w:rFonts w:hint="eastAsia" w:ascii="宋体" w:hAnsi="宋体" w:cs="宋体"/>
                <w:sz w:val="24"/>
                <w:szCs w:val="24"/>
                <w:highlight w:val="none"/>
              </w:rPr>
            </w:r>
            <w:r/>
          </w:p>
        </w:tc>
      </w:tr>
      <w:tr>
        <w:trPr>
          <w:trHeight w:val="563"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签订合同</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成交通知书发出之日起15日内。</w:t>
            </w:r>
            <w:r>
              <w:rPr>
                <w:rFonts w:hint="eastAsia" w:ascii="宋体" w:hAnsi="宋体" w:cs="宋体"/>
                <w:sz w:val="24"/>
                <w:szCs w:val="24"/>
                <w:highlight w:val="none"/>
              </w:rPr>
            </w:r>
            <w:r/>
          </w:p>
        </w:tc>
      </w:tr>
      <w:tr>
        <w:trPr>
          <w:trHeight w:val="5406" w:hRule="exact"/>
        </w:trPr>
        <w:tc>
          <w:tcPr>
            <w:tcW w:w="1059" w:type="dxa"/>
            <w:vAlign w:val="center"/>
            <w:textDirection w:val="lrTb"/>
            <w:noWrap w:val="false"/>
          </w:tcPr>
          <w:p>
            <w:pPr>
              <w:pStyle w:val="939"/>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履约保证金</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color w:val="000000"/>
                <w:sz w:val="24"/>
                <w:highlight w:val="none"/>
              </w:rPr>
              <w:t xml:space="preserve">不提交</w:t>
            </w:r>
            <w:r>
              <w:rPr>
                <w:rFonts w:hint="eastAsia" w:ascii="宋体" w:hAnsi="宋体"/>
                <w:color w:val="000000"/>
                <w:sz w:val="24"/>
                <w:highlight w:val="none"/>
              </w:rPr>
            </w:r>
            <w:r/>
          </w:p>
          <w:p>
            <w:pPr>
              <w:pStyle w:val="1060"/>
              <w:ind w:left="0"/>
              <w:rPr>
                <w:rFonts w:hint="eastAsia" w:ascii="宋体" w:hAnsi="宋体" w:cs="宋体"/>
                <w:color w:val="000000"/>
                <w:sz w:val="24"/>
                <w:highlight w:val="none"/>
              </w:rPr>
            </w:pPr>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39"/>
              <w:spacing w:line="360" w:lineRule="auto"/>
              <w:rPr>
                <w:rFonts w:hint="eastAsia" w:ascii="宋体" w:hAnsi="宋体" w:cs="宋体"/>
                <w:sz w:val="24"/>
                <w:szCs w:val="24"/>
                <w:highlight w:val="none"/>
              </w:rPr>
            </w:pPr>
            <w:r>
              <w:rPr>
                <w:rFonts w:hint="eastAsia" w:ascii="宋体" w:hAnsi="宋体"/>
                <w:color w:val="000000"/>
                <w:sz w:val="24"/>
                <w:szCs w:val="24"/>
                <w:highlight w:val="none"/>
              </w:rPr>
              <w:t xml:space="preserve">如需提交履约保证金，</w:t>
            </w:r>
            <w:r>
              <w:rPr>
                <w:rFonts w:ascii="宋体" w:hAnsi="宋体"/>
                <w:color w:val="000000"/>
                <w:sz w:val="24"/>
                <w:szCs w:val="24"/>
                <w:highlight w:val="none"/>
              </w:rPr>
              <w:t xml:space="preserve">根据《关于在全省政府采购领域推行电子履约保函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的通知</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苏财购【2023】150号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》规定，中标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成交</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供应商可以自愿选择，使用以电子履约保函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形式代替提供履约保证金。供应商可通过江苏省政府采购网、“苏采云”系统链接访问登录“政府采购电子履约保函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平台”，选择第三方机构并提交保函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申请。详见</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江苏政府采购网“资料下载”栏目</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网址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www.ccgp-jiangsu.gov.cn/jiangsu/zlxz</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下载“政府采购电子履约保函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操作手册”</w:t>
            </w:r>
            <w:r>
              <w:rPr>
                <w:rFonts w:hint="eastAsia" w:ascii="宋体" w:hAnsi="宋体"/>
                <w:color w:val="000000"/>
                <w:sz w:val="24"/>
                <w:szCs w:val="24"/>
                <w:highlight w:val="none"/>
              </w:rPr>
              <w:t xml:space="preserve">。</w:t>
            </w:r>
            <w:r>
              <w:rPr>
                <w:rFonts w:hint="eastAsia" w:ascii="宋体" w:hAnsi="宋体" w:cs="宋体"/>
                <w:sz w:val="24"/>
                <w:szCs w:val="24"/>
                <w:highlight w:val="none"/>
              </w:rPr>
            </w:r>
            <w:r/>
          </w:p>
        </w:tc>
      </w:tr>
      <w:tr>
        <w:trPr>
          <w:trHeight w:val="563" w:hRule="exact"/>
        </w:trPr>
        <w:tc>
          <w:tcPr>
            <w:tcW w:w="1059" w:type="dxa"/>
            <w:vAlign w:val="center"/>
            <w:textDirection w:val="lrTb"/>
            <w:noWrap w:val="false"/>
          </w:tcPr>
          <w:p>
            <w:pPr>
              <w:pStyle w:val="939"/>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18</w:t>
            </w:r>
            <w:r>
              <w:rPr>
                <w:rFonts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定标办法</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sz w:val="24"/>
                <w:szCs w:val="24"/>
                <w:highlight w:val="none"/>
              </w:rPr>
              <w:t xml:space="preserve">采购人授权磋商小组每标段直接确定1名成交供应商</w:t>
            </w:r>
            <w:r>
              <w:rPr>
                <w:rFonts w:hint="eastAsia" w:ascii="宋体" w:hAnsi="宋体" w:cs="宋体"/>
                <w:sz w:val="24"/>
                <w:szCs w:val="24"/>
                <w:highlight w:val="none"/>
              </w:rPr>
            </w:r>
            <w:r/>
          </w:p>
        </w:tc>
      </w:tr>
      <w:tr>
        <w:trPr>
          <w:trHeight w:val="2988" w:hRule="exact"/>
        </w:trPr>
        <w:tc>
          <w:tcPr>
            <w:tcW w:w="105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19</w:t>
            </w:r>
            <w:r>
              <w:rPr>
                <w:rFonts w:hint="eastAsia" w:ascii="宋体" w:hAnsi="宋体" w:cs="宋体"/>
                <w:sz w:val="24"/>
                <w:szCs w:val="24"/>
                <w:highlight w:val="none"/>
              </w:rPr>
            </w:r>
            <w:r/>
          </w:p>
        </w:tc>
        <w:tc>
          <w:tcPr>
            <w:tcW w:w="2505" w:type="dxa"/>
            <w:vAlign w:val="center"/>
            <w:textDirection w:val="lrTb"/>
            <w:noWrap w:val="false"/>
          </w:tcPr>
          <w:p>
            <w:pPr>
              <w:pStyle w:val="939"/>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特别提醒</w:t>
            </w:r>
            <w:r>
              <w:rPr>
                <w:rFonts w:hint="eastAsia" w:ascii="宋体" w:hAnsi="宋体" w:cs="宋体"/>
                <w:sz w:val="24"/>
                <w:szCs w:val="24"/>
                <w:highlight w:val="none"/>
              </w:rPr>
            </w:r>
            <w:r/>
          </w:p>
        </w:tc>
        <w:tc>
          <w:tcPr>
            <w:tcW w:w="6574" w:type="dxa"/>
            <w:vAlign w:val="center"/>
            <w:textDirection w:val="lrTb"/>
            <w:noWrap w:val="false"/>
          </w:tcPr>
          <w:p>
            <w:pPr>
              <w:pStyle w:val="939"/>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本项目采用电子网上招投标。</w:t>
            </w:r>
            <w:r>
              <w:rPr>
                <w:rFonts w:hint="eastAsia" w:ascii="宋体" w:hAnsi="宋体" w:cs="宋体"/>
                <w:b/>
                <w:bCs/>
                <w:sz w:val="24"/>
                <w:highlight w:val="none"/>
              </w:rPr>
            </w:r>
            <w:r/>
          </w:p>
          <w:p>
            <w:pPr>
              <w:pStyle w:val="939"/>
              <w:spacing w:line="360" w:lineRule="auto"/>
              <w:rPr>
                <w:rFonts w:hint="eastAsia" w:ascii="宋体" w:hAnsi="宋体" w:cs="宋体"/>
                <w:sz w:val="24"/>
                <w:highlight w:val="none"/>
              </w:rPr>
            </w:pPr>
            <w:r>
              <w:rPr>
                <w:rFonts w:hint="eastAsia" w:ascii="宋体" w:hAnsi="宋体" w:cs="宋体"/>
                <w:sz w:val="24"/>
                <w:highlight w:val="none"/>
              </w:rPr>
              <w:t xml:space="preserve">1.投标单位需要通过CA证书，使用“苏州市政府采购客户端”工具制作电子投标文件，并在提交投标文件截止时间之前对投标文件进行加密并上传；</w:t>
            </w:r>
            <w:r>
              <w:rPr>
                <w:rFonts w:hint="eastAsia" w:ascii="宋体" w:hAnsi="宋体" w:cs="宋体"/>
                <w:sz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highlight w:val="none"/>
              </w:rPr>
              <w:t xml:space="preserve">2.投标单位需携带加密文件的CA证书，在项目开启后，开始解密投标文件，请投标单位预留足够的解密时间。</w:t>
            </w:r>
            <w:r>
              <w:rPr>
                <w:rFonts w:hint="eastAsia" w:ascii="宋体" w:hAnsi="宋体" w:cs="宋体"/>
                <w:sz w:val="24"/>
                <w:szCs w:val="24"/>
                <w:highlight w:val="none"/>
              </w:rPr>
            </w:r>
            <w:r/>
          </w:p>
        </w:tc>
      </w:tr>
    </w:tbl>
    <w:p>
      <w:pPr>
        <w:pStyle w:val="939"/>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r>
      <w:r/>
    </w:p>
    <w:p>
      <w:pPr>
        <w:pStyle w:val="939"/>
        <w:numPr>
          <w:ilvl w:val="0"/>
          <w:numId w:val="1"/>
        </w:numPr>
        <w:jc w:val="center"/>
        <w:rPr>
          <w:rFonts w:hint="eastAsia" w:ascii="宋体" w:hAnsi="宋体" w:cs="宋体"/>
          <w:b/>
          <w:sz w:val="32"/>
          <w:highlight w:val="none"/>
        </w:rPr>
      </w:pPr>
      <w:r>
        <w:rPr>
          <w:rFonts w:hint="eastAsia" w:ascii="宋体" w:hAnsi="宋体" w:cs="宋体"/>
          <w:b/>
          <w:sz w:val="32"/>
          <w:highlight w:val="none"/>
        </w:rPr>
        <w:t xml:space="preserve">竞争性磋商公告</w:t>
      </w:r>
      <w:r>
        <w:rPr>
          <w:rFonts w:hint="eastAsia" w:ascii="宋体" w:hAnsi="宋体" w:cs="宋体"/>
          <w:b/>
          <w:sz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38"/>
      </w:tblGrid>
      <w:tr>
        <w:trPr/>
        <w:tc>
          <w:tcPr>
            <w:tcW w:w="5000" w:type="dxa"/>
            <w:vAlign w:val="top"/>
            <w:textDirection w:val="lrTb"/>
            <w:noWrap w:val="false"/>
          </w:tcPr>
          <w:p>
            <w:pPr>
              <w:pStyle w:val="939"/>
              <w:ind w:firstLine="480"/>
              <w:spacing w:line="360" w:lineRule="auto"/>
              <w:rPr>
                <w:rFonts w:ascii="宋体" w:hAnsi="宋体"/>
                <w:sz w:val="24"/>
                <w:szCs w:val="24"/>
                <w:highlight w:val="none"/>
              </w:rPr>
            </w:pPr>
            <w:r>
              <w:rPr>
                <w:rFonts w:hint="eastAsia" w:ascii="宋体" w:hAnsi="宋体"/>
                <w:sz w:val="24"/>
                <w:szCs w:val="24"/>
                <w:highlight w:val="none"/>
              </w:rPr>
              <w:t xml:space="preserve">项目概况</w:t>
            </w:r>
            <w:r>
              <w:rPr>
                <w:rFonts w:ascii="宋体" w:hAnsi="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sz w:val="24"/>
                <w:szCs w:val="24"/>
                <w:highlight w:val="none"/>
                <w:u w:val="single"/>
              </w:rPr>
              <w:t xml:space="preserve">水资源及供水水质监测</w:t>
            </w:r>
            <w:r>
              <w:rPr>
                <w:rFonts w:hint="eastAsia" w:ascii="宋体" w:hAnsi="宋体"/>
                <w:sz w:val="24"/>
                <w:szCs w:val="24"/>
                <w:highlight w:val="none"/>
              </w:rPr>
              <w:t xml:space="preserve">招标项目的潜在供应商应在</w:t>
            </w:r>
            <w:r>
              <w:rPr>
                <w:rFonts w:hint="eastAsia" w:ascii="宋体" w:hAnsi="宋体"/>
                <w:sz w:val="24"/>
                <w:szCs w:val="24"/>
                <w:highlight w:val="none"/>
                <w:u w:val="single"/>
              </w:rPr>
              <w:t xml:space="preserve">“苏采云系统”</w:t>
            </w:r>
            <w:r>
              <w:rPr>
                <w:rFonts w:hint="eastAsia" w:ascii="宋体" w:hAnsi="宋体" w:cs="宋体"/>
                <w:sz w:val="24"/>
                <w:szCs w:val="24"/>
                <w:highlight w:val="none"/>
              </w:rPr>
              <w:t xml:space="preserve">获取采购文件</w:t>
            </w:r>
            <w:r>
              <w:rPr>
                <w:rFonts w:hint="eastAsia" w:ascii="宋体" w:hAnsi="宋体"/>
                <w:sz w:val="24"/>
                <w:szCs w:val="24"/>
                <w:highlight w:val="none"/>
              </w:rPr>
              <w:t xml:space="preserve">，并于</w:t>
            </w:r>
            <w:r>
              <w:rPr>
                <w:rFonts w:hint="eastAsia" w:ascii="宋体" w:hAnsi="宋体"/>
                <w:sz w:val="24"/>
                <w:szCs w:val="24"/>
                <w:highlight w:val="none"/>
                <w:u w:val="single"/>
              </w:rPr>
              <w:t xml:space="preserve">2026-1-4  13时30分</w:t>
            </w:r>
            <w:r>
              <w:rPr>
                <w:rFonts w:hint="eastAsia" w:ascii="宋体" w:hAnsi="宋体"/>
                <w:sz w:val="24"/>
                <w:szCs w:val="24"/>
                <w:highlight w:val="none"/>
              </w:rPr>
              <w:t xml:space="preserve">（北京时间）前递交响应文件。</w:t>
            </w:r>
            <w:r>
              <w:rPr>
                <w:rFonts w:ascii="宋体" w:hAnsi="宋体" w:cs="宋体"/>
                <w:sz w:val="24"/>
                <w:szCs w:val="24"/>
                <w:highlight w:val="none"/>
              </w:rPr>
            </w:r>
            <w:r/>
          </w:p>
        </w:tc>
      </w:tr>
    </w:tbl>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一、项目基本情况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JSZC-320506-HWZX-C2025-0957</w:t>
      </w:r>
      <w:r>
        <w:rPr>
          <w:rFonts w:hint="eastAsia" w:ascii="宋体" w:hAnsi="宋体" w:cs="宋体"/>
          <w:sz w:val="24"/>
          <w:szCs w:val="24"/>
          <w:highlight w:val="none"/>
        </w:rPr>
        <w:t xml:space="preserve">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项目名称：水资源及供水水质监测 </w:t>
      </w:r>
      <w:r>
        <w:rPr>
          <w:rFonts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采购方式：竞争性磋商 </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预算金额：陆拾陆万元整（￥660000.00）</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其中：一标段：叁拾叁万伍仟元整（￥335000.00）</w:t>
      </w:r>
      <w:r>
        <w:rPr>
          <w:rFonts w:hint="eastAsia" w:ascii="宋体" w:hAnsi="宋体" w:cs="宋体"/>
          <w:sz w:val="24"/>
          <w:szCs w:val="24"/>
          <w:highlight w:val="none"/>
        </w:rPr>
      </w:r>
      <w:r/>
    </w:p>
    <w:p>
      <w:pPr>
        <w:pStyle w:val="939"/>
        <w:ind w:firstLine="1200"/>
        <w:spacing w:line="360" w:lineRule="auto"/>
        <w:rPr>
          <w:rFonts w:hint="eastAsia" w:ascii="宋体" w:hAnsi="宋体"/>
          <w:sz w:val="24"/>
          <w:highlight w:val="none"/>
        </w:rPr>
      </w:pPr>
      <w:r>
        <w:rPr>
          <w:rFonts w:hint="eastAsia" w:ascii="宋体" w:hAnsi="宋体" w:cs="宋体"/>
          <w:sz w:val="24"/>
          <w:szCs w:val="24"/>
          <w:highlight w:val="none"/>
        </w:rPr>
        <w:t xml:space="preserve">二标段：叁拾贰万伍仟元整（￥325000.00）</w:t>
      </w:r>
      <w:r>
        <w:rPr>
          <w:rFonts w:hint="eastAsia" w:ascii="宋体" w:hAnsi="宋体"/>
          <w:sz w:val="24"/>
          <w:highlight w:val="none"/>
        </w:rPr>
      </w:r>
      <w:r/>
    </w:p>
    <w:p>
      <w:pPr>
        <w:pStyle w:val="939"/>
        <w:ind w:firstLine="480"/>
        <w:spacing w:line="360" w:lineRule="auto"/>
        <w:rPr>
          <w:rFonts w:hint="eastAsia" w:ascii="宋体" w:hAnsi="宋体"/>
          <w:sz w:val="24"/>
          <w:highlight w:val="none"/>
        </w:rPr>
      </w:pPr>
      <w:r>
        <w:rPr>
          <w:rFonts w:hint="eastAsia" w:ascii="宋体" w:hAnsi="宋体"/>
          <w:sz w:val="24"/>
          <w:highlight w:val="none"/>
        </w:rPr>
        <w:t xml:space="preserve">最高限价：</w:t>
      </w:r>
      <w:r>
        <w:rPr>
          <w:rFonts w:hint="eastAsia" w:ascii="宋体" w:hAnsi="宋体"/>
          <w:sz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一标段：叁拾叁万伍仟元整（￥335000.00）</w:t>
      </w:r>
      <w:r>
        <w:rPr>
          <w:rFonts w:hint="eastAsia" w:ascii="宋体" w:hAnsi="宋体" w:cs="宋体"/>
          <w:sz w:val="24"/>
          <w:szCs w:val="24"/>
          <w:highlight w:val="none"/>
        </w:rPr>
      </w:r>
      <w:r/>
    </w:p>
    <w:p>
      <w:pPr>
        <w:pStyle w:val="939"/>
        <w:ind w:firstLine="480"/>
        <w:spacing w:line="360" w:lineRule="auto"/>
        <w:rPr>
          <w:rFonts w:hint="eastAsia" w:ascii="宋体" w:hAnsi="宋体"/>
          <w:sz w:val="24"/>
          <w:highlight w:val="none"/>
        </w:rPr>
      </w:pPr>
      <w:r>
        <w:rPr>
          <w:rFonts w:hint="eastAsia" w:ascii="宋体" w:hAnsi="宋体" w:cs="宋体"/>
          <w:sz w:val="24"/>
          <w:szCs w:val="24"/>
          <w:highlight w:val="none"/>
        </w:rPr>
        <w:t xml:space="preserve">二标段：叁拾贰万伍仟元整（￥325000.00）</w:t>
      </w:r>
      <w:r>
        <w:rPr>
          <w:rFonts w:hint="eastAsia" w:ascii="宋体" w:hAnsi="宋体"/>
          <w:sz w:val="24"/>
          <w:highlight w:val="none"/>
        </w:rPr>
      </w:r>
      <w:r/>
    </w:p>
    <w:p>
      <w:pPr>
        <w:pStyle w:val="93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采购需求：对2026年吴中区的出厂水、管网水、二次供水和水源地原水等进行水质检测。详见采购文件内容</w:t>
      </w:r>
      <w:r>
        <w:rPr>
          <w:rFonts w:hint="eastAsia" w:ascii="宋体" w:hAnsi="宋体"/>
          <w:sz w:val="24"/>
          <w:szCs w:val="24"/>
          <w:highlight w:val="none"/>
        </w:rPr>
        <w:t xml:space="preserve">。</w:t>
      </w:r>
      <w:r>
        <w:rPr>
          <w:rFonts w:hint="eastAsia" w:ascii="宋体" w:hAnsi="宋体" w:cs="宋体"/>
          <w:color w:val="000000"/>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合同履行期限</w:t>
      </w:r>
      <w:r>
        <w:rPr>
          <w:rFonts w:ascii="宋体" w:hAnsi="宋体" w:cs="宋体"/>
          <w:sz w:val="24"/>
          <w:szCs w:val="24"/>
          <w:highlight w:val="none"/>
        </w:rPr>
        <w:t xml:space="preserve">：</w:t>
      </w:r>
      <w:r>
        <w:rPr>
          <w:rFonts w:hint="eastAsia" w:ascii="宋体" w:hAnsi="宋体" w:cs="宋体"/>
          <w:sz w:val="24"/>
          <w:szCs w:val="24"/>
          <w:highlight w:val="none"/>
        </w:rPr>
        <w:t xml:space="preserve">签订合同之日起1年（具体起始时间按采购单位要求）。</w:t>
      </w:r>
      <w:r>
        <w:rPr>
          <w:rFonts w:ascii="宋体" w:hAnsi="宋体" w:cs="宋体"/>
          <w:sz w:val="24"/>
          <w:szCs w:val="24"/>
          <w:highlight w:val="none"/>
        </w:rPr>
      </w:r>
      <w:r/>
    </w:p>
    <w:p>
      <w:pPr>
        <w:pStyle w:val="939"/>
        <w:ind w:firstLine="480"/>
        <w:spacing w:line="360" w:lineRule="auto"/>
        <w:rPr>
          <w:rFonts w:ascii="Arial" w:hAnsi="Arial" w:eastAsia="Arial" w:cs="宋体"/>
          <w:sz w:val="24"/>
          <w:szCs w:val="24"/>
          <w:highlight w:val="none"/>
        </w:rPr>
      </w:pPr>
      <w:r>
        <w:rPr>
          <w:rFonts w:hint="eastAsia" w:ascii="宋体" w:hAnsi="宋体" w:cs="宋体"/>
          <w:sz w:val="24"/>
          <w:szCs w:val="24"/>
          <w:highlight w:val="none"/>
        </w:rPr>
        <w:t xml:space="preserve">本项目不接受联合体。</w:t>
      </w:r>
      <w:r>
        <w:rPr>
          <w:rFonts w:ascii="Arial" w:hAnsi="Arial" w:eastAsia="Arial"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二、申请人的资格要求：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（1）具有独立承担民事责任的能力；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（4）具有依法缴纳税收和社会保障资金的良好记录；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（7）法律、行政法规规定的其他条件； </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专门面向中小企业</w:t>
      </w:r>
      <w:r>
        <w:rPr>
          <w:rFonts w:hint="eastAsia" w:ascii="宋体" w:hAnsi="宋体"/>
          <w:b/>
          <w:sz w:val="24"/>
          <w:szCs w:val="24"/>
          <w:highlight w:val="none"/>
        </w:rPr>
        <w:t xml:space="preserve">，所属行业为</w:t>
      </w:r>
      <w:r>
        <w:rPr>
          <w:rFonts w:hint="eastAsia" w:ascii="宋体" w:hAnsi="宋体" w:cs="宋体"/>
          <w:b/>
          <w:bCs/>
          <w:spacing w:val="3"/>
          <w:sz w:val="24"/>
          <w:szCs w:val="24"/>
          <w:highlight w:val="none"/>
          <w:u w:val="single"/>
        </w:rPr>
        <w:t xml:space="preserve">其他未列明行业</w:t>
      </w:r>
      <w:r>
        <w:rPr>
          <w:rFonts w:hint="eastAsia" w:ascii="宋体" w:hAnsi="宋体"/>
          <w:b/>
          <w:sz w:val="24"/>
          <w:szCs w:val="24"/>
          <w:highlight w:val="none"/>
        </w:rPr>
        <w:t xml:space="preserve">，供应商应为中小微企业或监狱企业或残疾人福利性单位。</w:t>
      </w:r>
      <w:r>
        <w:rPr>
          <w:rFonts w:ascii="宋体" w:hAnsi="宋体" w:cs="宋体"/>
          <w:sz w:val="24"/>
          <w:szCs w:val="24"/>
          <w:highlight w:val="none"/>
        </w:rPr>
      </w:r>
      <w:r/>
    </w:p>
    <w:p>
      <w:pPr>
        <w:pStyle w:val="939"/>
        <w:ind w:firstLine="480"/>
        <w:spacing w:line="360" w:lineRule="auto"/>
        <w:rPr>
          <w:rFonts w:hint="eastAsia"/>
          <w:color w:val="000000"/>
          <w:sz w:val="24"/>
          <w:szCs w:val="24"/>
          <w:highlight w:val="none"/>
        </w:rPr>
      </w:pPr>
      <w:r>
        <w:rPr>
          <w:rFonts w:hint="eastAsia" w:ascii="宋体" w:hAnsi="宋体" w:cs="宋体"/>
          <w:sz w:val="24"/>
          <w:szCs w:val="24"/>
          <w:highlight w:val="none"/>
        </w:rPr>
        <w:t xml:space="preserve">3.本项目的特定资格要求：</w:t>
      </w:r>
      <w:r>
        <w:rPr>
          <w:rFonts w:hint="eastAsia" w:ascii="宋体" w:hAnsi="宋体"/>
          <w:sz w:val="24"/>
          <w:szCs w:val="24"/>
          <w:highlight w:val="none"/>
        </w:rPr>
        <w:t xml:space="preserve">具有有效期内的检验检测机构资质认定证书。</w:t>
      </w:r>
      <w:r>
        <w:rPr>
          <w:rFonts w:hint="eastAsia"/>
          <w:color w:val="000000"/>
          <w:sz w:val="24"/>
          <w:szCs w:val="24"/>
          <w:highlight w:val="none"/>
        </w:rPr>
      </w:r>
      <w:r/>
    </w:p>
    <w:p>
      <w:pPr>
        <w:pStyle w:val="939"/>
        <w:ind w:firstLine="480"/>
        <w:spacing w:line="360" w:lineRule="auto"/>
        <w:rPr>
          <w:rFonts w:hint="eastAsia"/>
          <w:color w:val="000000"/>
          <w:sz w:val="24"/>
          <w:szCs w:val="24"/>
          <w:highlight w:val="none"/>
        </w:rPr>
      </w:pPr>
      <w:r>
        <w:rPr>
          <w:rFonts w:hint="eastAsia"/>
          <w:color w:val="000000"/>
          <w:sz w:val="24"/>
          <w:szCs w:val="24"/>
          <w:highlight w:val="none"/>
        </w:rPr>
        <w:t xml:space="preserve">注：单位负责人为同一人或者存在直接控股、管理关系的不同供应商，不得参加同一合同项下的政府采购活动。</w:t>
      </w:r>
      <w:r>
        <w:rPr>
          <w:rFonts w:hint="eastAsia"/>
          <w:color w:val="000000"/>
          <w:sz w:val="24"/>
          <w:szCs w:val="24"/>
          <w:highlight w:val="none"/>
        </w:rPr>
      </w:r>
      <w:r/>
    </w:p>
    <w:p>
      <w:pPr>
        <w:pStyle w:val="939"/>
        <w:ind w:firstLine="482"/>
        <w:spacing w:line="360" w:lineRule="auto"/>
        <w:rPr>
          <w:rFonts w:ascii="Arial" w:hAnsi="Arial" w:eastAsia="Arial" w:cs="宋体"/>
          <w:b/>
          <w:sz w:val="24"/>
          <w:szCs w:val="24"/>
          <w:highlight w:val="none"/>
        </w:rPr>
      </w:pPr>
      <w:r>
        <w:rPr>
          <w:rFonts w:hint="eastAsia" w:ascii="Arial" w:hAnsi="Arial" w:eastAsia="Arial" w:cs="宋体"/>
          <w:b/>
          <w:sz w:val="24"/>
          <w:szCs w:val="24"/>
          <w:highlight w:val="none"/>
        </w:rPr>
        <w:t xml:space="preserve">三、获取采购文件：</w:t>
      </w:r>
      <w:r>
        <w:rPr>
          <w:rFonts w:ascii="Arial" w:hAnsi="Arial" w:eastAsia="Arial" w:cs="宋体"/>
          <w:b/>
          <w:sz w:val="24"/>
          <w:szCs w:val="24"/>
          <w:highlight w:val="none"/>
        </w:rPr>
      </w:r>
      <w:r/>
    </w:p>
    <w:p>
      <w:pPr>
        <w:pStyle w:val="939"/>
        <w:ind w:firstLine="480"/>
        <w:spacing w:line="360" w:lineRule="auto"/>
        <w:rPr>
          <w:rFonts w:hint="eastAsia"/>
          <w:color w:val="000000"/>
          <w:sz w:val="24"/>
          <w:szCs w:val="24"/>
          <w:highlight w:val="none"/>
        </w:rPr>
      </w:pPr>
      <w:r>
        <w:rPr>
          <w:rFonts w:hint="eastAsia"/>
          <w:color w:val="000000"/>
          <w:sz w:val="24"/>
          <w:szCs w:val="24"/>
          <w:highlight w:val="none"/>
        </w:rPr>
        <w:t xml:space="preserve">1.时间：自公告发布之日起五个工作日</w:t>
      </w:r>
      <w:r>
        <w:rPr>
          <w:rFonts w:hint="eastAsia"/>
          <w:color w:val="000000"/>
          <w:sz w:val="24"/>
          <w:szCs w:val="24"/>
          <w:highlight w:val="none"/>
        </w:rPr>
      </w:r>
      <w:r/>
    </w:p>
    <w:p>
      <w:pPr>
        <w:pStyle w:val="939"/>
        <w:ind w:firstLine="480"/>
        <w:spacing w:line="360" w:lineRule="auto"/>
        <w:rPr>
          <w:rFonts w:hint="eastAsia"/>
          <w:color w:val="000000"/>
          <w:sz w:val="24"/>
          <w:szCs w:val="24"/>
          <w:highlight w:val="none"/>
        </w:rPr>
      </w:pPr>
      <w:r>
        <w:rPr>
          <w:rFonts w:hint="eastAsia"/>
          <w:color w:val="000000"/>
          <w:sz w:val="24"/>
          <w:szCs w:val="24"/>
          <w:highlight w:val="none"/>
        </w:rPr>
        <w:t xml:space="preserve">2.地点：“苏采云”系统</w:t>
      </w:r>
      <w:r>
        <w:rPr>
          <w:rFonts w:hint="eastAsia"/>
          <w:color w:val="000000"/>
          <w:sz w:val="24"/>
          <w:szCs w:val="24"/>
          <w:highlight w:val="none"/>
        </w:rPr>
      </w:r>
      <w:r/>
    </w:p>
    <w:p>
      <w:pPr>
        <w:pStyle w:val="939"/>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3.方式：“苏采云”系统自行下载</w:t>
      </w:r>
      <w:r>
        <w:rPr>
          <w:rFonts w:hint="eastAsia"/>
          <w:color w:val="000000"/>
          <w:sz w:val="24"/>
          <w:szCs w:val="24"/>
          <w:highlight w:val="none"/>
        </w:rPr>
      </w:r>
      <w:r/>
    </w:p>
    <w:p>
      <w:pPr>
        <w:pStyle w:val="939"/>
        <w:ind w:firstLine="480"/>
        <w:spacing w:line="360" w:lineRule="auto"/>
        <w:rPr>
          <w:rFonts w:hint="eastAsia"/>
          <w:color w:val="000000"/>
          <w:sz w:val="24"/>
          <w:szCs w:val="24"/>
          <w:highlight w:val="none"/>
        </w:rPr>
      </w:pPr>
      <w:r>
        <w:rPr>
          <w:rFonts w:hint="eastAsia"/>
          <w:color w:val="000000"/>
          <w:sz w:val="24"/>
          <w:szCs w:val="24"/>
          <w:highlight w:val="none"/>
        </w:rPr>
        <w:t xml:space="preserve">4.售价：免费</w:t>
      </w:r>
      <w:r>
        <w:rPr>
          <w:rFonts w:hint="eastAsia"/>
          <w:color w:val="000000"/>
          <w:sz w:val="24"/>
          <w:szCs w:val="24"/>
          <w:highlight w:val="none"/>
        </w:rPr>
      </w:r>
      <w:r/>
    </w:p>
    <w:p>
      <w:pPr>
        <w:pStyle w:val="93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w:t>
      </w:r>
      <w:r>
        <w:rPr>
          <w:rFonts w:hint="eastAsia" w:ascii="宋体" w:hAnsi="宋体"/>
          <w:b/>
          <w:sz w:val="24"/>
          <w:highlight w:val="none"/>
        </w:rPr>
        <w:t xml:space="preserve">响应文件提交</w:t>
      </w:r>
      <w:r>
        <w:rPr>
          <w:rFonts w:hint="eastAsia" w:ascii="宋体" w:hAnsi="宋体" w:cs="宋体"/>
          <w:b/>
          <w:bCs/>
          <w:sz w:val="24"/>
          <w:highlight w:val="none"/>
        </w:rPr>
        <w:t xml:space="preserve">：</w:t>
      </w:r>
      <w:r>
        <w:rPr>
          <w:rFonts w:ascii="宋体" w:hAnsi="宋体" w:cs="宋体"/>
          <w:b/>
          <w:bCs/>
          <w:sz w:val="24"/>
          <w:highlight w:val="none"/>
        </w:rPr>
      </w:r>
      <w:r/>
    </w:p>
    <w:p>
      <w:pPr>
        <w:pStyle w:val="939"/>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1.电子响应文件上传截止时间：</w:t>
      </w:r>
      <w:r>
        <w:rPr>
          <w:rFonts w:hint="eastAsia" w:ascii="宋体" w:hAnsi="宋体" w:cs="宋体"/>
          <w:sz w:val="24"/>
          <w:highlight w:val="none"/>
        </w:rPr>
        <w:t xml:space="preserve">2026年1月4日13:30</w:t>
      </w:r>
      <w:r>
        <w:rPr>
          <w:rFonts w:hint="eastAsia" w:ascii="宋体" w:hAnsi="宋体" w:cs="宋体"/>
          <w:sz w:val="24"/>
          <w:highlight w:val="none"/>
        </w:rPr>
        <w:t xml:space="preserve">。</w:t>
      </w:r>
      <w:r>
        <w:rPr>
          <w:rFonts w:hint="eastAsia" w:ascii="宋体" w:hAnsi="宋体" w:cs="宋体"/>
          <w:sz w:val="24"/>
          <w:highlight w:val="none"/>
        </w:rPr>
      </w:r>
      <w:r/>
    </w:p>
    <w:p>
      <w:pPr>
        <w:pStyle w:val="939"/>
        <w:ind w:firstLine="420"/>
        <w:spacing w:line="360" w:lineRule="auto"/>
        <w:rPr>
          <w:rFonts w:ascii="宋体" w:hAnsi="宋体" w:cs="宋体"/>
          <w:sz w:val="24"/>
          <w:szCs w:val="24"/>
          <w:highlight w:val="none"/>
        </w:rPr>
      </w:pPr>
      <w:r>
        <w:rPr>
          <w:rFonts w:hint="eastAsia" w:ascii="宋体" w:hAnsi="宋体" w:cs="宋体"/>
          <w:sz w:val="24"/>
          <w:highlight w:val="none"/>
        </w:rPr>
        <w:t xml:space="preserve">2.地点：“苏采云”系统（网址：http://jszfcg.jsczt.cn）</w:t>
      </w:r>
      <w:r>
        <w:rPr>
          <w:rFonts w:ascii="宋体" w:hAnsi="宋体" w:cs="宋体"/>
          <w:sz w:val="24"/>
          <w:szCs w:val="24"/>
          <w:highlight w:val="none"/>
        </w:rPr>
      </w:r>
      <w:r/>
    </w:p>
    <w:p>
      <w:pPr>
        <w:pStyle w:val="939"/>
        <w:ind w:firstLine="42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五、开启</w:t>
      </w:r>
      <w:r>
        <w:rPr>
          <w:rFonts w:ascii="宋体" w:hAnsi="宋体" w:cs="宋体"/>
          <w:b/>
          <w:bCs/>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sz w:val="24"/>
          <w:szCs w:val="24"/>
          <w:highlight w:val="none"/>
        </w:rPr>
        <w:t xml:space="preserve">2026年1月4日13:30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2.地点：苏州市市辖区【狮山科技馆】不见面开标室（虚拟开标室）</w:t>
      </w:r>
      <w:r>
        <w:rPr>
          <w:rFonts w:hint="eastAsia" w:ascii="宋体" w:hAnsi="宋体" w:cs="宋体"/>
          <w:sz w:val="24"/>
          <w:szCs w:val="24"/>
          <w:highlight w:val="none"/>
        </w:rPr>
      </w:r>
      <w:r/>
    </w:p>
    <w:p>
      <w:pPr>
        <w:pStyle w:val="939"/>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六、公告期限</w:t>
      </w:r>
      <w:r>
        <w:rPr>
          <w:rFonts w:ascii="宋体" w:hAnsi="宋体" w:cs="宋体"/>
          <w:b/>
          <w:bCs/>
          <w:sz w:val="24"/>
          <w:szCs w:val="24"/>
          <w:highlight w:val="none"/>
        </w:rPr>
      </w:r>
      <w:r/>
    </w:p>
    <w:p>
      <w:pPr>
        <w:pStyle w:val="939"/>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ascii="宋体" w:hAnsi="宋体" w:cs="宋体"/>
          <w:sz w:val="24"/>
          <w:szCs w:val="24"/>
          <w:highlight w:val="none"/>
        </w:rPr>
      </w:r>
      <w:r/>
    </w:p>
    <w:p>
      <w:pPr>
        <w:pStyle w:val="939"/>
        <w:ind w:firstLine="42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ascii="宋体" w:hAnsi="宋体" w:cs="宋体"/>
          <w:b/>
          <w:bCs/>
          <w:sz w:val="24"/>
          <w:szCs w:val="24"/>
          <w:highlight w:val="none"/>
        </w:rPr>
      </w:r>
      <w:r/>
    </w:p>
    <w:p>
      <w:pPr>
        <w:pStyle w:val="939"/>
        <w:ind w:firstLine="480"/>
        <w:jc w:val="left"/>
        <w:spacing w:line="360" w:lineRule="auto"/>
        <w:rPr>
          <w:rFonts w:ascii="宋体" w:hAnsi="宋体"/>
          <w:sz w:val="24"/>
          <w:highlight w:val="none"/>
        </w:rPr>
      </w:pPr>
      <w:r>
        <w:rPr>
          <w:rFonts w:hint="eastAsia" w:ascii="宋体" w:hAnsi="宋体"/>
          <w:sz w:val="24"/>
          <w:highlight w:val="none"/>
        </w:rPr>
        <w:t xml:space="preserve">1.CA证书办理、参与采购活动及投标准备事项：</w:t>
      </w:r>
      <w:r>
        <w:rPr>
          <w:rFonts w:ascii="宋体" w:hAnsi="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（1）CA证书办理</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4"/>
          <w:highlight w:val="none"/>
        </w:rPr>
        <w:t xml:space="preserve">苏州现场办理地址：苏州市高新区邓尉路105号狮山科技馆1楼服务大厅，咨询电话：0512-69820834</w:t>
      </w:r>
      <w:r>
        <w:rPr>
          <w:rFonts w:hint="eastAsia" w:ascii="宋体" w:hAnsi="宋体" w:cs="宋体"/>
          <w:sz w:val="24"/>
          <w:highlight w:val="none"/>
        </w:rPr>
        <w:t xml:space="preserve">。</w:t>
      </w:r>
      <w:r>
        <w:rPr>
          <w:rFonts w:ascii="宋体" w:hAnsi="宋体" w:cs="宋体"/>
          <w:sz w:val="24"/>
          <w:highlight w:val="none"/>
        </w:rPr>
      </w:r>
      <w:r/>
    </w:p>
    <w:p>
      <w:pPr>
        <w:pStyle w:val="939"/>
        <w:ind w:firstLine="480"/>
        <w:jc w:val="left"/>
        <w:spacing w:line="360" w:lineRule="auto"/>
        <w:rPr>
          <w:rFonts w:ascii="宋体" w:hAnsi="宋体" w:cs="宋体"/>
          <w:b/>
          <w:sz w:val="24"/>
          <w:highlight w:val="none"/>
        </w:rPr>
      </w:pPr>
      <w:r>
        <w:rPr>
          <w:rFonts w:hint="eastAsia" w:ascii="宋体" w:hAnsi="宋体" w:cs="宋体"/>
          <w:sz w:val="24"/>
          <w:highlight w:val="none"/>
        </w:rPr>
        <w:t xml:space="preserve">（2）参与采购活动</w:t>
      </w:r>
      <w:r>
        <w:rPr>
          <w:rFonts w:ascii="宋体" w:hAnsi="宋体" w:cs="宋体"/>
          <w:b/>
          <w:sz w:val="24"/>
          <w:highlight w:val="none"/>
        </w:rPr>
      </w:r>
      <w:r/>
    </w:p>
    <w:p>
      <w:pPr>
        <w:pStyle w:val="93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考虑到熟悉“苏采云”系统、办理CA证书都需要一定的时间，请提早准备以免耽误招标采购活动。</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（3）电子投标准备</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供应商在“苏采云”系统中操作成功参与项目后，必须在“已参与项目”界面中下载电子招标文件（后缀名为“.kedt”）并导入政府采购客户端工具后方可进行响应文件制作和提交</w:t>
      </w:r>
      <w:r>
        <w:rPr>
          <w:rFonts w:hint="eastAsia" w:ascii="宋体" w:hAnsi="宋体" w:cs="宋体"/>
          <w:b/>
          <w:sz w:val="24"/>
          <w:highlight w:val="none"/>
        </w:rPr>
        <w:t xml:space="preserve">（具体详见《苏采云系统供应商操作手册》，网址链接https://czju.suzhou.gov.cn/zfcg/html/content/20231220161910031.shtml）</w:t>
      </w:r>
      <w:r>
        <w:rPr>
          <w:rFonts w:hint="eastAsia" w:ascii="宋体" w:hAnsi="宋体" w:cs="宋体"/>
          <w:sz w:val="24"/>
          <w:highlight w:val="none"/>
        </w:rPr>
        <w:t xml:space="preserve">。</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在系统操作过程中如有疑问，请按以下方式联系：</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注册咨询：18261002950；</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CA技术咨询电话：400-608-6099；</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签章使用问题：025-83633811、025-83633812、15380932027、15371015030；</w:t>
      </w:r>
      <w:r>
        <w:rPr>
          <w:rFonts w:ascii="宋体" w:hAnsi="宋体" w:cs="宋体"/>
          <w:sz w:val="24"/>
          <w:highlight w:val="none"/>
        </w:rPr>
      </w:r>
      <w:r/>
    </w:p>
    <w:p>
      <w:pPr>
        <w:pStyle w:val="939"/>
        <w:ind w:firstLine="480"/>
        <w:jc w:val="left"/>
        <w:spacing w:line="360" w:lineRule="auto"/>
        <w:rPr>
          <w:rFonts w:ascii="宋体" w:hAnsi="宋体" w:cs="宋体"/>
          <w:sz w:val="24"/>
          <w:highlight w:val="none"/>
        </w:rPr>
      </w:pPr>
      <w:r>
        <w:rPr>
          <w:rFonts w:hint="eastAsia" w:ascii="宋体" w:hAnsi="宋体" w:cs="宋体"/>
          <w:sz w:val="24"/>
          <w:highlight w:val="none"/>
        </w:rPr>
        <w:t xml:space="preserve">系统使用指导与咨询：联系电话：18261002950；QQ：3048755361、1315179389、895706745。</w:t>
      </w:r>
      <w:r>
        <w:rPr>
          <w:rFonts w:ascii="宋体" w:hAnsi="宋体" w:cs="宋体"/>
          <w:sz w:val="24"/>
          <w:highlight w:val="none"/>
        </w:rPr>
      </w:r>
      <w:r/>
    </w:p>
    <w:p>
      <w:pPr>
        <w:pStyle w:val="939"/>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cs="宋体"/>
          <w:sz w:val="24"/>
          <w:highlight w:val="none"/>
        </w:rPr>
        <w:t xml:space="preserve">本项目采用电子招投标形式，请供应商按照《苏采云系统供应商操作手册》进行制作、上传电子响应文件。响应文件制作完成后请于截止前成功上传至“苏采云”系统，未按要求线上递交电子投标（响应）文件视为放弃参加该采购项目。供应商应充分考虑到网络环境、网络带宽等风险因素，如因供应商自身原因造成的电子响应文件上传不成功由供应商自行承担全部责任。</w:t>
      </w:r>
      <w:r>
        <w:rPr>
          <w:rFonts w:ascii="宋体" w:hAnsi="宋体"/>
          <w:sz w:val="24"/>
          <w:highlight w:val="none"/>
        </w:rPr>
      </w:r>
      <w:r/>
    </w:p>
    <w:p>
      <w:pPr>
        <w:pStyle w:val="939"/>
        <w:ind w:firstLine="480"/>
        <w:spacing w:line="360" w:lineRule="auto"/>
        <w:rPr>
          <w:rFonts w:hint="eastAsia" w:ascii="宋体" w:hAnsi="宋体"/>
          <w:sz w:val="24"/>
          <w:highlight w:val="none"/>
        </w:rPr>
      </w:pPr>
      <w:r>
        <w:rPr>
          <w:rFonts w:hint="eastAsia" w:ascii="宋体" w:hAnsi="宋体"/>
          <w:sz w:val="24"/>
          <w:highlight w:val="none"/>
        </w:rPr>
        <w:t xml:space="preserve">3.开启相关事项：</w:t>
      </w:r>
      <w:r>
        <w:rPr>
          <w:rFonts w:hint="eastAsia" w:ascii="宋体" w:hAnsi="宋体"/>
          <w:sz w:val="24"/>
          <w:highlight w:val="none"/>
        </w:rPr>
      </w:r>
      <w:r/>
    </w:p>
    <w:p>
      <w:pPr>
        <w:pStyle w:val="939"/>
        <w:ind w:firstLine="240"/>
        <w:spacing w:line="360" w:lineRule="auto"/>
        <w:rPr>
          <w:rFonts w:hint="eastAsia" w:ascii="宋体" w:hAnsi="宋体" w:cs="宋体"/>
          <w:sz w:val="24"/>
          <w:highlight w:val="none"/>
        </w:rPr>
      </w:pPr>
      <w:r>
        <w:rPr>
          <w:rFonts w:hint="eastAsia" w:ascii="宋体" w:hAnsi="宋体"/>
          <w:sz w:val="24"/>
          <w:highlight w:val="none"/>
        </w:rPr>
        <w:t xml:space="preserve">（1）</w:t>
      </w:r>
      <w:r>
        <w:rPr>
          <w:rFonts w:hint="eastAsia" w:ascii="宋体" w:hAnsi="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sz w:val="24"/>
          <w:highlight w:val="none"/>
        </w:rPr>
      </w:r>
      <w:r/>
    </w:p>
    <w:p>
      <w:pPr>
        <w:pStyle w:val="939"/>
        <w:ind w:firstLine="240"/>
        <w:spacing w:line="360" w:lineRule="auto"/>
        <w:rPr>
          <w:rFonts w:hint="eastAsia" w:ascii="宋体" w:hAnsi="宋体" w:cs="宋体"/>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highlight w:val="none"/>
        </w:rPr>
      </w:r>
      <w:r/>
    </w:p>
    <w:p>
      <w:pPr>
        <w:pStyle w:val="1060"/>
        <w:rPr>
          <w:highlight w:val="none"/>
        </w:rPr>
      </w:pPr>
      <w:r>
        <w:rPr>
          <w:rFonts w:hint="eastAsia" w:ascii="宋体" w:hAnsi="宋体" w:cs="宋体"/>
          <w:b/>
          <w:sz w:val="24"/>
          <w:highlight w:val="none"/>
        </w:rPr>
        <w:t xml:space="preserve">请供应商确保电脑、系统及其他设备（视频输入输出设备等）无误，且开标直至项目结束始终保持系统在线状态。</w:t>
      </w:r>
      <w:r>
        <w:rPr>
          <w:highlight w:val="none"/>
        </w:rPr>
      </w:r>
      <w:r/>
    </w:p>
    <w:p>
      <w:pPr>
        <w:pStyle w:val="939"/>
        <w:ind w:firstLine="240"/>
        <w:spacing w:line="360" w:lineRule="auto"/>
        <w:rPr>
          <w:rFonts w:hint="eastAsia" w:ascii="宋体" w:hAnsi="宋体"/>
          <w:sz w:val="24"/>
          <w:highlight w:val="none"/>
        </w:rPr>
      </w:pPr>
      <w:r>
        <w:rPr>
          <w:rFonts w:hint="eastAsia" w:ascii="宋体" w:hAnsi="宋体"/>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sz w:val="24"/>
          <w:highlight w:val="none"/>
        </w:rPr>
      </w:r>
      <w:r/>
    </w:p>
    <w:p>
      <w:pPr>
        <w:pStyle w:val="939"/>
        <w:ind w:firstLine="480"/>
        <w:spacing w:line="360" w:lineRule="auto"/>
        <w:rPr>
          <w:rFonts w:hint="eastAsia" w:ascii="宋体" w:hAnsi="宋体"/>
          <w:sz w:val="24"/>
          <w:highlight w:val="none"/>
        </w:rPr>
      </w:pPr>
      <w:r>
        <w:rPr>
          <w:rFonts w:hint="eastAsia" w:ascii="宋体" w:hAnsi="宋体"/>
          <w:sz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sz w:val="24"/>
          <w:highlight w:val="none"/>
        </w:rPr>
      </w:r>
      <w:r/>
    </w:p>
    <w:p>
      <w:pPr>
        <w:pStyle w:val="939"/>
        <w:ind w:firstLine="480"/>
        <w:spacing w:line="360" w:lineRule="auto"/>
        <w:rPr>
          <w:rFonts w:hint="eastAsia" w:ascii="宋体" w:hAnsi="宋体"/>
          <w:sz w:val="24"/>
          <w:highlight w:val="none"/>
        </w:rPr>
      </w:pPr>
      <w:r>
        <w:rPr>
          <w:rFonts w:hint="eastAsia" w:ascii="宋体" w:hAnsi="宋体"/>
          <w:sz w:val="24"/>
          <w:highlight w:val="non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sz w:val="24"/>
          <w:highlight w:val="none"/>
        </w:rPr>
      </w:r>
      <w:r/>
    </w:p>
    <w:p>
      <w:pPr>
        <w:pStyle w:val="939"/>
        <w:ind w:firstLine="480"/>
        <w:spacing w:line="360" w:lineRule="auto"/>
        <w:rPr>
          <w:rFonts w:hint="eastAsia" w:ascii="宋体" w:hAnsi="宋体"/>
          <w:sz w:val="24"/>
          <w:highlight w:val="none"/>
        </w:rPr>
      </w:pPr>
      <w:r>
        <w:rPr>
          <w:rFonts w:hint="eastAsia" w:ascii="宋体" w:hAnsi="宋体"/>
          <w:sz w:val="24"/>
          <w:highlight w:val="none"/>
        </w:rPr>
        <w:t xml:space="preserve">6.请贵单位领取本次采购文件后，认真阅读各项内容，进行必要的磋商准备，按文件的要求详细填写和编制响应文件。</w:t>
      </w:r>
      <w:r>
        <w:rPr>
          <w:rFonts w:hint="eastAsia" w:ascii="宋体" w:hAnsi="宋体"/>
          <w:sz w:val="24"/>
          <w:highlight w:val="none"/>
        </w:rPr>
      </w:r>
      <w:r/>
    </w:p>
    <w:p>
      <w:pPr>
        <w:pStyle w:val="939"/>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7.本次采购的相关信息刊登在苏州政府采购网、江苏政府采购网、中国政府采购网。</w:t>
      </w:r>
      <w:r>
        <w:rPr>
          <w:rFonts w:ascii="宋体" w:hAnsi="宋体" w:cs="宋体"/>
          <w:sz w:val="24"/>
          <w:szCs w:val="24"/>
          <w:highlight w:val="none"/>
        </w:rPr>
      </w:r>
      <w:r/>
    </w:p>
    <w:p>
      <w:pPr>
        <w:pStyle w:val="939"/>
        <w:ind w:firstLine="420"/>
        <w:spacing w:line="360" w:lineRule="auto"/>
        <w:rPr>
          <w:rFonts w:hint="eastAsia" w:ascii="宋体" w:hAnsi="宋体" w:cs="宋体"/>
          <w:sz w:val="24"/>
          <w:highlight w:val="none"/>
        </w:rPr>
      </w:pPr>
      <w:r>
        <w:rPr>
          <w:rFonts w:hint="eastAsia" w:ascii="宋体" w:hAnsi="宋体" w:cs="宋体"/>
          <w:sz w:val="24"/>
          <w:szCs w:val="24"/>
          <w:highlight w:val="none"/>
        </w:rPr>
        <w:t xml:space="preserve">8.政府采购监督电话：0512-65283947</w:t>
      </w:r>
      <w:r>
        <w:rPr>
          <w:rFonts w:hint="eastAsia" w:ascii="宋体" w:hAnsi="宋体" w:cs="宋体"/>
          <w:sz w:val="24"/>
          <w:highlight w:val="none"/>
        </w:rPr>
        <w:t xml:space="preserve">。</w:t>
      </w:r>
      <w:r>
        <w:rPr>
          <w:rFonts w:hint="eastAsia" w:ascii="宋体" w:hAnsi="宋体" w:cs="宋体"/>
          <w:sz w:val="24"/>
          <w:highlight w:val="none"/>
        </w:rPr>
      </w:r>
      <w:r/>
    </w:p>
    <w:p>
      <w:pPr>
        <w:pStyle w:val="939"/>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九、对本次招标提出的询问，请按以下方式联系。</w:t>
      </w:r>
      <w:r>
        <w:rPr>
          <w:rFonts w:hint="eastAsia" w:ascii="宋体" w:hAnsi="宋体" w:cs="宋体"/>
          <w:b/>
          <w:bCs/>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单位名称：苏州市吴中区水费管理所</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单位地址：苏州市吴中区越溪街道苏街198号吴中商务中心</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联系人：顾金钧</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联系电话：65285815 </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名称：江苏海外集团国际工程咨询有限公司</w:t>
      </w:r>
      <w:r>
        <w:rPr>
          <w:rFonts w:hint="eastAsia"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地址：苏州市高新区资管大厦8楼</w:t>
      </w:r>
      <w:r>
        <w:rPr>
          <w:rFonts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联系方式：0512-65187009</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项目联系人：万奇奇、章宏杰   </w:t>
      </w:r>
      <w:r>
        <w:rPr>
          <w:rFonts w:hint="eastAsia" w:ascii="宋体" w:hAnsi="宋体" w:cs="宋体"/>
          <w:sz w:val="24"/>
          <w:szCs w:val="24"/>
          <w:highlight w:val="none"/>
        </w:rPr>
      </w:r>
      <w:r/>
    </w:p>
    <w:p>
      <w:pPr>
        <w:pStyle w:val="981"/>
        <w:ind w:firstLine="480"/>
        <w:rPr>
          <w:rFonts w:hint="eastAsia" w:ascii="宋体" w:hAnsi="宋体" w:cs="宋体"/>
          <w:sz w:val="24"/>
          <w:highlight w:val="none"/>
        </w:rPr>
      </w:pPr>
      <w:r>
        <w:rPr>
          <w:rFonts w:hint="eastAsia" w:ascii="宋体" w:hAnsi="宋体" w:cs="宋体"/>
          <w:sz w:val="24"/>
          <w:szCs w:val="24"/>
          <w:highlight w:val="none"/>
        </w:rPr>
        <w:t xml:space="preserve">电话：0512-65187009</w:t>
      </w:r>
      <w:r>
        <w:rPr>
          <w:rFonts w:hint="eastAsia" w:ascii="宋体" w:hAnsi="宋体" w:cs="宋体"/>
          <w:sz w:val="24"/>
          <w:highlight w:val="none"/>
        </w:rPr>
      </w:r>
      <w:r/>
    </w:p>
    <w:p>
      <w:pPr>
        <w:pStyle w:val="939"/>
        <w:ind w:firstLine="420"/>
        <w:jc w:val="center"/>
        <w:spacing w:line="360" w:lineRule="auto"/>
        <w:rPr>
          <w:rFonts w:hint="eastAsia" w:ascii="宋体" w:hAnsi="宋体" w:cs="宋体"/>
          <w:b/>
          <w:sz w:val="32"/>
          <w:highlight w:val="none"/>
        </w:rPr>
      </w:pPr>
      <w:r>
        <w:rPr>
          <w:rFonts w:hint="eastAsia" w:ascii="宋体" w:hAnsi="宋体" w:cs="宋体"/>
          <w:highlight w:val="none"/>
        </w:rPr>
        <w:br w:type="page" w:clear="all"/>
      </w:r>
      <w:r>
        <w:rPr>
          <w:rFonts w:hint="eastAsia" w:ascii="宋体" w:hAnsi="宋体" w:cs="宋体"/>
          <w:b/>
          <w:sz w:val="32"/>
          <w:highlight w:val="none"/>
        </w:rPr>
        <w:t xml:space="preserve">二、磋商采购文件</w:t>
      </w:r>
      <w:r>
        <w:rPr>
          <w:rFonts w:hint="eastAsia" w:ascii="宋体" w:hAnsi="宋体" w:cs="宋体"/>
          <w:b/>
          <w:sz w:val="32"/>
          <w:highlight w:val="none"/>
        </w:rPr>
      </w:r>
      <w:r/>
    </w:p>
    <w:p>
      <w:pPr>
        <w:pStyle w:val="939"/>
        <w:ind w:firstLine="480"/>
        <w:jc w:val="left"/>
        <w:spacing w:line="360" w:lineRule="auto"/>
        <w:tabs>
          <w:tab w:val="left" w:pos="567"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江苏海外集团国际工程咨询有限公司受苏州市吴中区水费管理所的委托，就其所需</w:t>
      </w:r>
      <w:r>
        <w:rPr>
          <w:rFonts w:hint="eastAsia" w:ascii="宋体" w:hAnsi="宋体" w:cs="宋体"/>
          <w:sz w:val="24"/>
          <w:szCs w:val="24"/>
          <w:highlight w:val="none"/>
        </w:rPr>
        <w:t xml:space="preserve">水资源及供水水质监测</w:t>
      </w:r>
      <w:r>
        <w:rPr>
          <w:rFonts w:hint="eastAsia" w:ascii="宋体" w:hAnsi="宋体" w:cs="宋体"/>
          <w:bCs/>
          <w:sz w:val="24"/>
          <w:szCs w:val="24"/>
          <w:highlight w:val="none"/>
        </w:rPr>
        <w:t xml:space="preserve">项目采用竞争性磋商方式进行采购。欢迎符合磋商采购文件资格条件的供应商前来参加磋商。</w:t>
      </w:r>
      <w:r>
        <w:rPr>
          <w:rFonts w:hint="eastAsia" w:ascii="宋体" w:hAnsi="宋体" w:cs="宋体"/>
          <w:bCs/>
          <w:sz w:val="24"/>
          <w:szCs w:val="24"/>
          <w:highlight w:val="none"/>
        </w:rPr>
      </w:r>
      <w:r/>
    </w:p>
    <w:p>
      <w:pPr>
        <w:pStyle w:val="939"/>
        <w:numPr>
          <w:ilvl w:val="0"/>
          <w:numId w:val="2"/>
        </w:numPr>
        <w:ind w:firstLine="482"/>
        <w:jc w:val="left"/>
        <w:spacing w:line="360" w:lineRule="auto"/>
        <w:tabs>
          <w:tab w:val="left" w:pos="567" w:leader="none"/>
        </w:tabs>
        <w:rPr>
          <w:rFonts w:hint="eastAsia" w:ascii="宋体" w:hAnsi="宋体" w:cs="宋体"/>
          <w:sz w:val="24"/>
          <w:szCs w:val="24"/>
          <w:highlight w:val="none"/>
        </w:rPr>
      </w:pPr>
      <w:r>
        <w:rPr>
          <w:rFonts w:hint="eastAsia" w:ascii="宋体" w:hAnsi="宋体" w:cs="宋体"/>
          <w:b/>
          <w:sz w:val="24"/>
          <w:szCs w:val="24"/>
          <w:highlight w:val="none"/>
        </w:rPr>
        <w:t xml:space="preserve">采购编号：</w:t>
      </w:r>
      <w:r>
        <w:rPr>
          <w:rFonts w:hint="eastAsia" w:ascii="宋体" w:hAnsi="宋体" w:cs="宋体"/>
          <w:sz w:val="24"/>
          <w:szCs w:val="24"/>
          <w:highlight w:val="none"/>
          <w:lang w:eastAsia="zh-CN"/>
        </w:rPr>
        <w:t xml:space="preserve">JSZC-320506-HWZX-C2025-0957</w:t>
      </w:r>
      <w:r>
        <w:rPr>
          <w:rFonts w:hint="eastAsia" w:ascii="宋体" w:hAnsi="宋体" w:cs="宋体"/>
          <w:sz w:val="24"/>
          <w:szCs w:val="24"/>
          <w:highlight w:val="none"/>
        </w:rPr>
      </w:r>
      <w:r/>
    </w:p>
    <w:p>
      <w:pPr>
        <w:pStyle w:val="939"/>
        <w:numPr>
          <w:ilvl w:val="0"/>
          <w:numId w:val="2"/>
        </w:numPr>
        <w:ind w:firstLine="482"/>
        <w:jc w:val="left"/>
        <w:spacing w:line="360" w:lineRule="auto"/>
        <w:tabs>
          <w:tab w:val="left" w:pos="567" w:leader="none"/>
        </w:tabs>
        <w:rPr>
          <w:rFonts w:hint="eastAsia" w:ascii="宋体" w:hAnsi="宋体" w:cs="宋体"/>
          <w:sz w:val="24"/>
          <w:szCs w:val="24"/>
          <w:highlight w:val="none"/>
        </w:rPr>
      </w:pPr>
      <w:r>
        <w:rPr>
          <w:rFonts w:hint="eastAsia" w:ascii="宋体" w:hAnsi="宋体" w:cs="宋体"/>
          <w:b/>
          <w:sz w:val="24"/>
          <w:szCs w:val="24"/>
          <w:highlight w:val="none"/>
        </w:rPr>
        <w:t xml:space="preserve">项目名称：</w:t>
      </w:r>
      <w:r>
        <w:rPr>
          <w:rFonts w:hint="eastAsia" w:ascii="宋体" w:hAnsi="宋体" w:cs="宋体"/>
          <w:sz w:val="24"/>
          <w:szCs w:val="24"/>
          <w:highlight w:val="none"/>
        </w:rPr>
        <w:t xml:space="preserve">水资源及供水水质监测</w:t>
      </w:r>
      <w:r>
        <w:rPr>
          <w:rFonts w:hint="eastAsia" w:ascii="宋体" w:hAnsi="宋体" w:cs="宋体"/>
          <w:sz w:val="24"/>
          <w:szCs w:val="24"/>
          <w:highlight w:val="none"/>
        </w:rPr>
      </w:r>
      <w:r/>
    </w:p>
    <w:p>
      <w:pPr>
        <w:pStyle w:val="939"/>
        <w:numPr>
          <w:ilvl w:val="0"/>
          <w:numId w:val="2"/>
        </w:num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采购预算：</w:t>
      </w:r>
      <w:r>
        <w:rPr>
          <w:rFonts w:hint="eastAsia" w:ascii="宋体" w:hAnsi="宋体" w:cs="宋体"/>
          <w:b/>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预算金额：陆拾陆万元整（￥660000.00）</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其中：一标段：叁拾叁万伍仟元整（￥335000.00）</w:t>
      </w:r>
      <w:r>
        <w:rPr>
          <w:rFonts w:hint="eastAsia" w:ascii="宋体" w:hAnsi="宋体" w:cs="宋体"/>
          <w:sz w:val="24"/>
          <w:szCs w:val="24"/>
          <w:highlight w:val="none"/>
        </w:rPr>
      </w:r>
      <w:r/>
    </w:p>
    <w:p>
      <w:pPr>
        <w:pStyle w:val="939"/>
        <w:ind w:firstLine="1200"/>
        <w:spacing w:line="360" w:lineRule="auto"/>
        <w:rPr>
          <w:rFonts w:hint="eastAsia" w:ascii="宋体" w:hAnsi="宋体"/>
          <w:sz w:val="24"/>
          <w:highlight w:val="none"/>
        </w:rPr>
      </w:pPr>
      <w:r>
        <w:rPr>
          <w:rFonts w:hint="eastAsia" w:ascii="宋体" w:hAnsi="宋体" w:cs="宋体"/>
          <w:sz w:val="24"/>
          <w:szCs w:val="24"/>
          <w:highlight w:val="none"/>
        </w:rPr>
        <w:t xml:space="preserve">二标段：叁拾贰万伍仟元整（￥325000.00）</w:t>
      </w:r>
      <w:r>
        <w:rPr>
          <w:rFonts w:hint="eastAsia" w:ascii="宋体" w:hAnsi="宋体"/>
          <w:sz w:val="24"/>
          <w:highlight w:val="none"/>
        </w:rPr>
      </w:r>
      <w:r/>
    </w:p>
    <w:p>
      <w:pPr>
        <w:pStyle w:val="939"/>
        <w:ind w:firstLine="482"/>
        <w:jc w:val="left"/>
        <w:spacing w:line="360" w:lineRule="auto"/>
        <w:tabs>
          <w:tab w:val="left" w:pos="567" w:leader="none"/>
        </w:tabs>
        <w:rPr>
          <w:rFonts w:hint="eastAsia" w:ascii="宋体" w:hAnsi="宋体" w:cs="宋体"/>
          <w:b/>
          <w:sz w:val="24"/>
          <w:szCs w:val="24"/>
          <w:highlight w:val="none"/>
        </w:rPr>
      </w:pPr>
      <w:r>
        <w:rPr>
          <w:rFonts w:hint="eastAsia" w:ascii="宋体" w:hAnsi="宋体" w:cs="宋体"/>
          <w:b/>
          <w:sz w:val="24"/>
          <w:szCs w:val="24"/>
          <w:highlight w:val="none"/>
        </w:rPr>
        <w:t xml:space="preserve">四、采购需求：</w:t>
      </w:r>
      <w:r>
        <w:rPr>
          <w:rFonts w:hint="eastAsia" w:ascii="宋体" w:hAnsi="宋体" w:cs="宋体"/>
          <w:b/>
          <w:sz w:val="24"/>
          <w:szCs w:val="24"/>
          <w:highlight w:val="none"/>
        </w:rPr>
      </w:r>
      <w:r/>
    </w:p>
    <w:p>
      <w:pPr>
        <w:pStyle w:val="939"/>
        <w:ind w:firstLine="482"/>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（一）</w:t>
      </w:r>
      <w:r>
        <w:rPr>
          <w:rFonts w:hint="eastAsia" w:ascii="宋体" w:hAnsi="宋体"/>
          <w:b/>
          <w:bCs/>
          <w:sz w:val="24"/>
          <w:szCs w:val="24"/>
          <w:highlight w:val="none"/>
        </w:rPr>
        <w:t xml:space="preserve">服务清单</w:t>
      </w:r>
      <w:r>
        <w:rPr>
          <w:rFonts w:ascii="宋体" w:hAnsi="宋体"/>
          <w:b/>
          <w:bCs/>
          <w:sz w:val="24"/>
          <w:szCs w:val="24"/>
          <w:highlight w:val="none"/>
        </w:rPr>
      </w:r>
      <w:r/>
    </w:p>
    <w:p>
      <w:pPr>
        <w:pStyle w:val="939"/>
        <w:ind w:firstLine="482"/>
        <w:jc w:val="left"/>
        <w:spacing w:line="360" w:lineRule="auto"/>
        <w:rPr>
          <w:rFonts w:hint="eastAsia" w:ascii="宋体" w:hAnsi="宋体"/>
          <w:b/>
          <w:bCs/>
          <w:sz w:val="24"/>
          <w:szCs w:val="24"/>
          <w:highlight w:val="none"/>
        </w:rPr>
      </w:pPr>
      <w:r>
        <w:rPr>
          <w:rFonts w:hint="eastAsia" w:ascii="宋体" w:hAnsi="宋体" w:cs="宋体"/>
          <w:b/>
          <w:bCs/>
          <w:sz w:val="24"/>
          <w:szCs w:val="24"/>
          <w:highlight w:val="none"/>
        </w:rPr>
        <w:t xml:space="preserve">一标段：</w:t>
      </w:r>
      <w:r>
        <w:rPr>
          <w:rFonts w:hint="eastAsia" w:ascii="宋体" w:hAnsi="宋体"/>
          <w:b/>
          <w:bCs/>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1308"/>
        <w:gridCol w:w="1044"/>
        <w:gridCol w:w="2090"/>
        <w:gridCol w:w="1346"/>
        <w:gridCol w:w="2318"/>
      </w:tblGrid>
      <w:tr>
        <w:trPr>
          <w:trHeight w:val="1249"/>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服务对象单位名称</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样品类别</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pacing w:val="-6"/>
                <w:sz w:val="24"/>
                <w:szCs w:val="22"/>
                <w:highlight w:val="none"/>
              </w:rPr>
            </w:pPr>
            <w:r>
              <w:rPr>
                <w:rFonts w:hint="eastAsia" w:ascii="宋体" w:hAnsi="宋体" w:cs="宋体"/>
                <w:color w:val="000000"/>
                <w:spacing w:val="-6"/>
                <w:sz w:val="24"/>
                <w:szCs w:val="22"/>
                <w:highlight w:val="none"/>
              </w:rPr>
              <w:t xml:space="preserve">样品</w:t>
            </w:r>
            <w:r>
              <w:rPr>
                <w:rFonts w:ascii="宋体" w:hAnsi="宋体" w:cs="宋体"/>
                <w:color w:val="000000"/>
                <w:spacing w:val="-6"/>
                <w:sz w:val="24"/>
                <w:szCs w:val="22"/>
                <w:highlight w:val="none"/>
              </w:rPr>
            </w:r>
            <w:r/>
          </w:p>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数量</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监测项目</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监测频次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备注</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出厂水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2</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常规43项+二氯甲烷、三氯分和高氯酸盐</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每月1次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GB5749-2022水质常规指标及饮用水消毒副产物指标</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出厂水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2</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全分析97项+总有机碳、亚硝酸盐氮、甲醛、三氯乙醛和亚硝基二甲胺</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5月、10月各一次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GB5749-2022水质常规指标和扩展指标以及苏州地标5项。</w:t>
            </w:r>
            <w:r>
              <w:rPr>
                <w:rFonts w:ascii="宋体" w:hAnsi="宋体" w:cs="宋体"/>
                <w:color w:val="000000"/>
                <w:sz w:val="24"/>
                <w:szCs w:val="22"/>
                <w:highlight w:val="none"/>
              </w:rPr>
            </w:r>
            <w:r/>
          </w:p>
        </w:tc>
      </w:tr>
      <w:tr>
        <w:trPr>
          <w:trHeight w:val="1270"/>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管网水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3</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常规43项+二氯甲烷、三氯分和高氯酸盐</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每月1次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GB5749-2022水质常规指标及饮用水消毒副产物指标</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二次供水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4</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常规43项+二氯甲烷、三氯分和高氯酸盐</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1-4月，每月1次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GB5749-2022水质常规指标及饮用水消毒副产物指标</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二次供水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4</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19项（菌落总数、总大肠菌群、大肠埃希氏菌(当水样中检出总大肠菌群时)、色度、浑浊度、臭和味、肉眼可见物、pH、氨(以N计)、高锰酸盐指数(以O2计)、游离氯、三氯甲烷、一氯二溴甲烷、氯一溴甲烷、三溴甲烷、三卤甲烷、二氯乙酸、三氯乙酸、氯酸盐）</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5-12月，每月1次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《二次供水设施卫生规范》（GB 17051-2025）</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吴中水厂，吴中新水厂</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二次供水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10</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9项（色度、浑浊度、嗅和味、肉眼可见物、PH、菌落总数、总大肠菌群、余氯、高锰酸盐指数）</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5月、10月各一次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GB5749-2022《生活饮用水卫生标准》</w:t>
            </w:r>
            <w:r>
              <w:rPr>
                <w:rFonts w:ascii="宋体" w:hAnsi="宋体" w:cs="宋体"/>
                <w:color w:val="000000"/>
                <w:sz w:val="24"/>
                <w:szCs w:val="22"/>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寺前水源地</w:t>
            </w:r>
            <w:r>
              <w:rPr>
                <w:rFonts w:ascii="宋体" w:hAnsi="宋体" w:cs="宋体"/>
                <w:color w:val="000000"/>
                <w:sz w:val="24"/>
                <w:szCs w:val="22"/>
                <w:highlight w:val="none"/>
              </w:rPr>
            </w:r>
            <w:r/>
          </w:p>
        </w:tc>
        <w:tc>
          <w:tcPr>
            <w:tcW w:w="64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原水</w:t>
            </w:r>
            <w:r>
              <w:rPr>
                <w:rFonts w:ascii="宋体" w:hAnsi="宋体" w:cs="宋体"/>
                <w:color w:val="000000"/>
                <w:sz w:val="24"/>
                <w:szCs w:val="22"/>
                <w:highlight w:val="none"/>
              </w:rPr>
            </w:r>
            <w:r/>
          </w:p>
        </w:tc>
        <w:tc>
          <w:tcPr>
            <w:tcW w:w="515"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1</w:t>
            </w:r>
            <w:r>
              <w:rPr>
                <w:rFonts w:ascii="宋体" w:hAnsi="宋体" w:cs="宋体"/>
                <w:color w:val="000000"/>
                <w:sz w:val="24"/>
                <w:szCs w:val="22"/>
                <w:highlight w:val="none"/>
              </w:rPr>
            </w:r>
            <w:r/>
          </w:p>
        </w:tc>
        <w:tc>
          <w:tcPr>
            <w:tcW w:w="1031"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常规29项,湖库水源地增加总氮、叶绿素a,透明度3项。</w:t>
            </w:r>
            <w:r>
              <w:rPr>
                <w:rFonts w:ascii="宋体" w:hAnsi="宋体" w:cs="宋体"/>
                <w:color w:val="000000"/>
                <w:sz w:val="24"/>
                <w:szCs w:val="22"/>
                <w:highlight w:val="none"/>
              </w:rPr>
            </w:r>
            <w:r/>
          </w:p>
        </w:tc>
        <w:tc>
          <w:tcPr>
            <w:tcW w:w="664"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每月1次</w:t>
            </w:r>
            <w:r>
              <w:rPr>
                <w:rFonts w:ascii="宋体" w:hAnsi="宋体" w:cs="宋体"/>
                <w:color w:val="000000"/>
                <w:sz w:val="24"/>
                <w:szCs w:val="22"/>
                <w:highlight w:val="none"/>
              </w:rPr>
            </w:r>
            <w:r/>
          </w:p>
        </w:tc>
        <w:tc>
          <w:tcPr>
            <w:tcW w:w="1143" w:type="dxa"/>
            <w:vAlign w:val="center"/>
            <w:textDirection w:val="lrTb"/>
            <w:noWrap w:val="false"/>
          </w:tcPr>
          <w:p>
            <w:pPr>
              <w:pStyle w:val="939"/>
              <w:jc w:val="center"/>
              <w:rPr>
                <w:rFonts w:ascii="宋体" w:hAnsi="宋体" w:cs="宋体"/>
                <w:color w:val="000000"/>
                <w:sz w:val="24"/>
                <w:szCs w:val="22"/>
                <w:highlight w:val="none"/>
              </w:rPr>
            </w:pPr>
            <w:r>
              <w:rPr>
                <w:rFonts w:hint="eastAsia" w:ascii="宋体" w:hAnsi="宋体" w:cs="宋体"/>
                <w:color w:val="000000"/>
                <w:sz w:val="24"/>
                <w:szCs w:val="22"/>
                <w:highlight w:val="none"/>
              </w:rPr>
              <w:t xml:space="preserve">GB3838-2002《地表水环境质量标准》</w:t>
            </w:r>
            <w:r>
              <w:rPr>
                <w:rFonts w:ascii="宋体" w:hAnsi="宋体" w:cs="宋体"/>
                <w:color w:val="000000"/>
                <w:sz w:val="24"/>
                <w:szCs w:val="22"/>
                <w:highlight w:val="none"/>
              </w:rPr>
            </w:r>
            <w:r/>
          </w:p>
        </w:tc>
      </w:tr>
    </w:tbl>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82"/>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二标段：</w:t>
      </w:r>
      <w:r>
        <w:rPr>
          <w:rFonts w:hint="eastAsia" w:ascii="宋体" w:hAnsi="宋体" w:cs="宋体"/>
          <w:b/>
          <w:bCs/>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7"/>
        <w:gridCol w:w="1308"/>
        <w:gridCol w:w="1044"/>
        <w:gridCol w:w="2245"/>
        <w:gridCol w:w="1192"/>
        <w:gridCol w:w="2318"/>
      </w:tblGrid>
      <w:tr>
        <w:trPr>
          <w:trHeight w:val="1104"/>
        </w:trPr>
        <w:tc>
          <w:tcPr>
            <w:tcW w:w="1000"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服务对象单位名称</w:t>
            </w:r>
            <w:r>
              <w:rPr>
                <w:rFonts w:ascii="宋体" w:hAnsi="宋体" w:cs="宋体"/>
                <w:color w:val="000000"/>
                <w:sz w:val="24"/>
                <w:highlight w:val="none"/>
              </w:rPr>
            </w:r>
            <w:r/>
          </w:p>
        </w:tc>
        <w:tc>
          <w:tcPr>
            <w:tcW w:w="64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样品类别</w:t>
            </w:r>
            <w:r>
              <w:rPr>
                <w:rFonts w:ascii="宋体" w:hAnsi="宋体" w:cs="宋体"/>
                <w:color w:val="000000"/>
                <w:sz w:val="24"/>
                <w:highlight w:val="none"/>
              </w:rPr>
            </w:r>
            <w:r/>
          </w:p>
        </w:tc>
        <w:tc>
          <w:tcPr>
            <w:tcW w:w="515" w:type="dxa"/>
            <w:vAlign w:val="center"/>
            <w:textDirection w:val="lrTb"/>
            <w:noWrap w:val="false"/>
          </w:tcPr>
          <w:p>
            <w:pPr>
              <w:pStyle w:val="939"/>
              <w:jc w:val="center"/>
              <w:rPr>
                <w:rFonts w:ascii="宋体" w:hAnsi="宋体" w:cs="宋体"/>
                <w:color w:val="000000"/>
                <w:spacing w:val="-6"/>
                <w:sz w:val="24"/>
                <w:highlight w:val="none"/>
              </w:rPr>
            </w:pPr>
            <w:r>
              <w:rPr>
                <w:rFonts w:hint="eastAsia" w:ascii="宋体" w:hAnsi="宋体" w:cs="宋体"/>
                <w:color w:val="000000"/>
                <w:spacing w:val="-6"/>
                <w:sz w:val="24"/>
                <w:highlight w:val="none"/>
              </w:rPr>
              <w:t xml:space="preserve">样品</w:t>
            </w:r>
            <w:r>
              <w:rPr>
                <w:rFonts w:ascii="宋体" w:hAnsi="宋体" w:cs="宋体"/>
                <w:color w:val="000000"/>
                <w:spacing w:val="-6"/>
                <w:sz w:val="24"/>
                <w:highlight w:val="none"/>
              </w:rPr>
            </w:r>
            <w:r/>
          </w:p>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W w:w="1107"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监测项目</w:t>
            </w:r>
            <w:r>
              <w:rPr>
                <w:rFonts w:ascii="宋体" w:hAnsi="宋体" w:cs="宋体"/>
                <w:color w:val="000000"/>
                <w:sz w:val="24"/>
                <w:highlight w:val="none"/>
              </w:rPr>
            </w:r>
            <w:r/>
          </w:p>
        </w:tc>
        <w:tc>
          <w:tcPr>
            <w:tcW w:w="588"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监测频次</w:t>
            </w:r>
            <w:r>
              <w:rPr>
                <w:rFonts w:ascii="宋体" w:hAnsi="宋体" w:cs="宋体"/>
                <w:color w:val="000000"/>
                <w:sz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trHeight w:val="1508"/>
        </w:trPr>
        <w:tc>
          <w:tcPr>
            <w:tcW w:w="1000"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度假区水司，西部水务，胥口水司，润纯水务</w:t>
            </w:r>
            <w:r>
              <w:rPr>
                <w:rFonts w:ascii="宋体" w:hAnsi="宋体" w:cs="宋体"/>
                <w:color w:val="000000"/>
                <w:sz w:val="24"/>
                <w:szCs w:val="24"/>
                <w:highlight w:val="none"/>
              </w:rPr>
            </w:r>
            <w:r/>
          </w:p>
        </w:tc>
        <w:tc>
          <w:tcPr>
            <w:tcW w:w="64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管网水</w:t>
            </w:r>
            <w:r>
              <w:rPr>
                <w:rFonts w:ascii="宋体" w:hAnsi="宋体" w:cs="宋体"/>
                <w:color w:val="000000"/>
                <w:sz w:val="24"/>
                <w:szCs w:val="24"/>
                <w:highlight w:val="none"/>
              </w:rPr>
            </w:r>
            <w:r/>
          </w:p>
        </w:tc>
        <w:tc>
          <w:tcPr>
            <w:tcW w:w="51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szCs w:val="24"/>
                <w:highlight w:val="none"/>
              </w:rPr>
            </w:r>
            <w:r/>
          </w:p>
        </w:tc>
        <w:tc>
          <w:tcPr>
            <w:tcW w:w="1107"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常规43项+二氯甲烷、三氯分和高氯酸盐</w:t>
            </w:r>
            <w:r>
              <w:rPr>
                <w:rFonts w:ascii="宋体" w:hAnsi="宋体" w:cs="宋体"/>
                <w:color w:val="000000"/>
                <w:sz w:val="24"/>
                <w:szCs w:val="24"/>
                <w:highlight w:val="none"/>
              </w:rPr>
            </w:r>
            <w:r/>
          </w:p>
        </w:tc>
        <w:tc>
          <w:tcPr>
            <w:tcW w:w="588"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每月1次</w:t>
            </w:r>
            <w:r>
              <w:rPr>
                <w:rFonts w:ascii="宋体" w:hAnsi="宋体" w:cs="宋体"/>
                <w:color w:val="000000"/>
                <w:sz w:val="24"/>
                <w:szCs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GB5749-2022水质常规指标及饮用水消毒副产物指标</w:t>
            </w:r>
            <w:r>
              <w:rPr>
                <w:rFonts w:ascii="宋体" w:hAnsi="宋体" w:cs="宋体"/>
                <w:color w:val="000000"/>
                <w:sz w:val="24"/>
                <w:highlight w:val="none"/>
              </w:rPr>
            </w:r>
            <w:r/>
          </w:p>
        </w:tc>
      </w:tr>
      <w:tr>
        <w:trPr>
          <w:trHeight w:val="935"/>
        </w:trPr>
        <w:tc>
          <w:tcPr>
            <w:tcW w:w="1000"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吴中区11个规模以上排污口</w:t>
            </w:r>
            <w:r>
              <w:rPr>
                <w:rFonts w:ascii="宋体" w:hAnsi="宋体" w:cs="宋体"/>
                <w:color w:val="000000"/>
                <w:sz w:val="24"/>
                <w:szCs w:val="24"/>
                <w:highlight w:val="none"/>
              </w:rPr>
            </w:r>
            <w:r/>
          </w:p>
        </w:tc>
        <w:tc>
          <w:tcPr>
            <w:tcW w:w="64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废水</w:t>
            </w:r>
            <w:r>
              <w:rPr>
                <w:rFonts w:ascii="宋体" w:hAnsi="宋体" w:cs="宋体"/>
                <w:color w:val="000000"/>
                <w:sz w:val="24"/>
                <w:szCs w:val="24"/>
                <w:highlight w:val="none"/>
              </w:rPr>
            </w:r>
            <w:r/>
          </w:p>
        </w:tc>
        <w:tc>
          <w:tcPr>
            <w:tcW w:w="51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33</w:t>
            </w:r>
            <w:r>
              <w:rPr>
                <w:rFonts w:ascii="宋体" w:hAnsi="宋体" w:cs="宋体"/>
                <w:color w:val="000000"/>
                <w:sz w:val="24"/>
                <w:szCs w:val="24"/>
                <w:highlight w:val="none"/>
              </w:rPr>
            </w:r>
            <w:r/>
          </w:p>
        </w:tc>
        <w:tc>
          <w:tcPr>
            <w:tcW w:w="1107"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流量、水温、PH、化学需氧量、氨氮、总磷、总氮</w:t>
            </w:r>
            <w:r>
              <w:rPr>
                <w:rFonts w:ascii="宋体" w:hAnsi="宋体" w:cs="宋体"/>
                <w:color w:val="000000"/>
                <w:sz w:val="24"/>
                <w:szCs w:val="24"/>
                <w:highlight w:val="none"/>
              </w:rPr>
            </w:r>
            <w:r/>
          </w:p>
        </w:tc>
        <w:tc>
          <w:tcPr>
            <w:tcW w:w="588"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5月、10月各一次，时间为当天17点、24点、次日9点</w:t>
            </w:r>
            <w:r>
              <w:rPr>
                <w:rFonts w:ascii="宋体" w:hAnsi="宋体" w:cs="宋体"/>
                <w:color w:val="000000"/>
                <w:sz w:val="24"/>
                <w:szCs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GB3838-2002《地表水环境质量标准》</w:t>
            </w:r>
            <w:r>
              <w:rPr>
                <w:rFonts w:ascii="宋体" w:hAnsi="宋体" w:cs="宋体"/>
                <w:color w:val="000000"/>
                <w:sz w:val="24"/>
                <w:highlight w:val="none"/>
              </w:rPr>
            </w:r>
            <w:r/>
          </w:p>
        </w:tc>
      </w:tr>
      <w:tr>
        <w:trPr>
          <w:trHeight w:val="630"/>
        </w:trPr>
        <w:tc>
          <w:tcPr>
            <w:tcW w:w="1000" w:type="dxa"/>
            <w:vAlign w:val="center"/>
            <w:textDirection w:val="lrTb"/>
            <w:noWrap w:val="false"/>
          </w:tcPr>
          <w:p>
            <w:pPr>
              <w:pStyle w:val="939"/>
              <w:rPr>
                <w:rFonts w:ascii="宋体" w:hAnsi="宋体" w:cs="宋体"/>
                <w:color w:val="000000"/>
                <w:sz w:val="24"/>
                <w:szCs w:val="24"/>
                <w:highlight w:val="none"/>
              </w:rPr>
            </w:pPr>
            <w:r>
              <w:rPr>
                <w:rFonts w:hint="eastAsia" w:ascii="宋体" w:hAnsi="宋体" w:cs="宋体"/>
                <w:color w:val="000000"/>
                <w:sz w:val="24"/>
                <w:highlight w:val="none"/>
              </w:rPr>
              <w:t xml:space="preserve">度假区水司，西部水务，胥口水司</w:t>
            </w:r>
            <w:r>
              <w:rPr>
                <w:rFonts w:ascii="宋体" w:hAnsi="宋体" w:cs="宋体"/>
                <w:color w:val="000000"/>
                <w:sz w:val="24"/>
                <w:szCs w:val="24"/>
                <w:highlight w:val="none"/>
              </w:rPr>
            </w:r>
            <w:r/>
          </w:p>
        </w:tc>
        <w:tc>
          <w:tcPr>
            <w:tcW w:w="64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二次供水</w:t>
            </w:r>
            <w:r>
              <w:rPr>
                <w:rFonts w:ascii="宋体" w:hAnsi="宋体" w:cs="宋体"/>
                <w:color w:val="000000"/>
                <w:sz w:val="24"/>
                <w:szCs w:val="24"/>
                <w:highlight w:val="none"/>
              </w:rPr>
            </w:r>
            <w:r/>
          </w:p>
        </w:tc>
        <w:tc>
          <w:tcPr>
            <w:tcW w:w="515"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3</w:t>
            </w:r>
            <w:r>
              <w:rPr>
                <w:rFonts w:ascii="宋体" w:hAnsi="宋体" w:cs="宋体"/>
                <w:color w:val="000000"/>
                <w:sz w:val="24"/>
                <w:szCs w:val="24"/>
                <w:highlight w:val="none"/>
              </w:rPr>
            </w:r>
            <w:r/>
          </w:p>
        </w:tc>
        <w:tc>
          <w:tcPr>
            <w:tcW w:w="1107"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常规43项+二氯甲烷、三氯酚和高氯酸盐</w:t>
            </w:r>
            <w:r>
              <w:rPr>
                <w:rFonts w:ascii="宋体" w:hAnsi="宋体" w:cs="宋体"/>
                <w:color w:val="000000"/>
                <w:sz w:val="24"/>
                <w:szCs w:val="24"/>
                <w:highlight w:val="none"/>
              </w:rPr>
            </w:r>
            <w:r/>
          </w:p>
        </w:tc>
        <w:tc>
          <w:tcPr>
            <w:tcW w:w="588"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1-4月，每月一次</w:t>
            </w:r>
            <w:r>
              <w:rPr>
                <w:rFonts w:ascii="宋体" w:hAnsi="宋体" w:cs="宋体"/>
                <w:color w:val="000000"/>
                <w:sz w:val="24"/>
                <w:szCs w:val="24"/>
                <w:highlight w:val="none"/>
              </w:rPr>
            </w:r>
            <w:r/>
          </w:p>
        </w:tc>
        <w:tc>
          <w:tcPr>
            <w:tcW w:w="1143" w:type="dxa"/>
            <w:vAlign w:val="center"/>
            <w:textDirection w:val="lrTb"/>
            <w:noWrap w:val="false"/>
          </w:tcPr>
          <w:p>
            <w:pPr>
              <w:pStyle w:val="939"/>
              <w:jc w:val="center"/>
              <w:rPr>
                <w:rFonts w:ascii="宋体" w:hAnsi="宋体" w:cs="宋体"/>
                <w:color w:val="000000"/>
                <w:sz w:val="24"/>
                <w:szCs w:val="24"/>
                <w:highlight w:val="none"/>
              </w:rPr>
            </w:pPr>
            <w:r>
              <w:rPr>
                <w:rFonts w:hint="eastAsia" w:ascii="宋体" w:hAnsi="宋体" w:cs="宋体"/>
                <w:color w:val="000000"/>
                <w:sz w:val="24"/>
                <w:highlight w:val="none"/>
              </w:rPr>
              <w:t xml:space="preserve">GB5749-2022水质常规指标及饮用水消毒副产物指标</w:t>
            </w:r>
            <w:r>
              <w:rPr>
                <w:rFonts w:ascii="宋体" w:hAnsi="宋体" w:cs="宋体"/>
                <w:color w:val="000000"/>
                <w:sz w:val="24"/>
                <w:szCs w:val="24"/>
                <w:highlight w:val="none"/>
              </w:rPr>
            </w:r>
            <w:r/>
          </w:p>
        </w:tc>
      </w:tr>
      <w:tr>
        <w:trPr>
          <w:trHeight w:val="630"/>
        </w:trPr>
        <w:tc>
          <w:tcPr>
            <w:tcW w:w="1000" w:type="dxa"/>
            <w:vAlign w:val="center"/>
            <w:textDirection w:val="lrTb"/>
            <w:noWrap w:val="false"/>
          </w:tcPr>
          <w:p>
            <w:pPr>
              <w:pStyle w:val="939"/>
              <w:rPr>
                <w:rFonts w:ascii="宋体" w:hAnsi="宋体" w:cs="宋体"/>
                <w:color w:val="000000"/>
                <w:sz w:val="24"/>
                <w:highlight w:val="none"/>
              </w:rPr>
            </w:pPr>
            <w:r/>
            <w:bookmarkStart w:id="0" w:name="_Hlk213847499"/>
            <w:r>
              <w:rPr>
                <w:rFonts w:hint="eastAsia" w:ascii="宋体" w:hAnsi="宋体" w:cs="宋体"/>
                <w:color w:val="000000"/>
                <w:sz w:val="24"/>
                <w:highlight w:val="none"/>
              </w:rPr>
              <w:t xml:space="preserve">度假区水司，西部水务，胥口水司</w:t>
            </w:r>
            <w:r>
              <w:rPr>
                <w:rFonts w:ascii="宋体" w:hAnsi="宋体" w:cs="宋体"/>
                <w:color w:val="000000"/>
                <w:sz w:val="24"/>
                <w:highlight w:val="none"/>
              </w:rPr>
            </w:r>
            <w:r/>
          </w:p>
        </w:tc>
        <w:tc>
          <w:tcPr>
            <w:tcW w:w="64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二次供水</w:t>
            </w:r>
            <w:r>
              <w:rPr>
                <w:rFonts w:ascii="宋体" w:hAnsi="宋体" w:cs="宋体"/>
                <w:color w:val="000000"/>
                <w:sz w:val="24"/>
                <w:highlight w:val="none"/>
              </w:rPr>
            </w:r>
            <w:r/>
          </w:p>
        </w:tc>
        <w:tc>
          <w:tcPr>
            <w:tcW w:w="51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107"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19项（菌落总数、总大肠菌群、大肠埃希氏菌(当水样中检出总大肠菌群时)、色度、浑浊度、臭和味、肉眼可见物、pH、氨(以N计)、高锰酸盐指数(以O2计)、游离氯、三氯甲烷、一氯二溴甲烷、氯一溴甲烷、三溴甲烷、三卤甲烷、二氯乙酸、三氯乙酸、氯酸盐）</w:t>
            </w:r>
            <w:r>
              <w:rPr>
                <w:rFonts w:ascii="宋体" w:hAnsi="宋体" w:cs="宋体"/>
                <w:color w:val="000000"/>
                <w:sz w:val="24"/>
                <w:highlight w:val="none"/>
              </w:rPr>
            </w:r>
            <w:r/>
          </w:p>
        </w:tc>
        <w:tc>
          <w:tcPr>
            <w:tcW w:w="588"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5-12月，每月一次</w:t>
            </w:r>
            <w:r>
              <w:rPr>
                <w:rFonts w:ascii="宋体" w:hAnsi="宋体" w:cs="宋体"/>
                <w:color w:val="000000"/>
                <w:sz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《二次供水设施卫生规范》（GB 17051-2025）</w:t>
            </w:r>
            <w:r>
              <w:rPr>
                <w:rFonts w:ascii="宋体" w:hAnsi="宋体" w:cs="宋体"/>
                <w:color w:val="000000"/>
                <w:sz w:val="24"/>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highlight w:val="none"/>
              </w:rPr>
            </w:pPr>
            <w:r/>
            <w:bookmarkEnd w:id="0"/>
            <w:r>
              <w:rPr>
                <w:rFonts w:hint="eastAsia" w:ascii="宋体" w:hAnsi="宋体" w:cs="宋体"/>
                <w:color w:val="000000"/>
                <w:sz w:val="24"/>
                <w:highlight w:val="none"/>
              </w:rPr>
              <w:t xml:space="preserve">度假区水厂、西部水务、胥口水司</w:t>
            </w:r>
            <w:r>
              <w:rPr>
                <w:rFonts w:ascii="宋体" w:hAnsi="宋体" w:cs="宋体"/>
                <w:color w:val="000000"/>
                <w:sz w:val="24"/>
                <w:highlight w:val="none"/>
              </w:rPr>
            </w:r>
            <w:r/>
          </w:p>
        </w:tc>
        <w:tc>
          <w:tcPr>
            <w:tcW w:w="64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二次供水</w:t>
            </w:r>
            <w:r>
              <w:rPr>
                <w:rFonts w:ascii="宋体" w:hAnsi="宋体" w:cs="宋体"/>
                <w:color w:val="000000"/>
                <w:sz w:val="24"/>
                <w:highlight w:val="none"/>
              </w:rPr>
            </w:r>
            <w:r/>
          </w:p>
        </w:tc>
        <w:tc>
          <w:tcPr>
            <w:tcW w:w="51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107"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9项（色度、浑浊度、嗅和味、肉眼可见物、PH、菌落总数、总大肠菌群、余氯、高锰酸盐指数）</w:t>
            </w:r>
            <w:r>
              <w:rPr>
                <w:rFonts w:ascii="宋体" w:hAnsi="宋体" w:cs="宋体"/>
                <w:color w:val="000000"/>
                <w:sz w:val="24"/>
                <w:highlight w:val="none"/>
              </w:rPr>
            </w:r>
            <w:r/>
          </w:p>
        </w:tc>
        <w:tc>
          <w:tcPr>
            <w:tcW w:w="588"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4月、9月各一次</w:t>
            </w:r>
            <w:r>
              <w:rPr>
                <w:rFonts w:ascii="宋体" w:hAnsi="宋体" w:cs="宋体"/>
                <w:color w:val="000000"/>
                <w:sz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GB5749-2022《生活饮用水卫生标准》</w:t>
            </w:r>
            <w:r>
              <w:rPr>
                <w:rFonts w:ascii="宋体" w:hAnsi="宋体" w:cs="宋体"/>
                <w:color w:val="000000"/>
                <w:sz w:val="24"/>
                <w:highlight w:val="none"/>
              </w:rPr>
            </w:r>
            <w:r/>
          </w:p>
        </w:tc>
      </w:tr>
      <w:tr>
        <w:trPr>
          <w:trHeight w:val="630"/>
        </w:trPr>
        <w:tc>
          <w:tcPr>
            <w:tcW w:w="1000"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渔洋山水源地</w:t>
            </w:r>
            <w:r>
              <w:rPr>
                <w:rFonts w:ascii="宋体" w:hAnsi="宋体" w:cs="宋体"/>
                <w:color w:val="000000"/>
                <w:sz w:val="24"/>
                <w:highlight w:val="none"/>
              </w:rPr>
            </w:r>
            <w:r/>
          </w:p>
        </w:tc>
        <w:tc>
          <w:tcPr>
            <w:tcW w:w="64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原水</w:t>
            </w:r>
            <w:r>
              <w:rPr>
                <w:rFonts w:ascii="宋体" w:hAnsi="宋体" w:cs="宋体"/>
                <w:color w:val="000000"/>
                <w:sz w:val="24"/>
                <w:highlight w:val="none"/>
              </w:rPr>
            </w:r>
            <w:r/>
          </w:p>
        </w:tc>
        <w:tc>
          <w:tcPr>
            <w:tcW w:w="515"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107"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常规29项,湖库水源地增加总氮、叶绿素a,透明度3项。</w:t>
            </w:r>
            <w:r>
              <w:rPr>
                <w:rFonts w:ascii="宋体" w:hAnsi="宋体" w:cs="宋体"/>
                <w:color w:val="000000"/>
                <w:sz w:val="24"/>
                <w:highlight w:val="none"/>
              </w:rPr>
            </w:r>
            <w:r/>
          </w:p>
        </w:tc>
        <w:tc>
          <w:tcPr>
            <w:tcW w:w="588"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每月1次</w:t>
            </w:r>
            <w:r>
              <w:rPr>
                <w:rFonts w:ascii="宋体" w:hAnsi="宋体" w:cs="宋体"/>
                <w:color w:val="000000"/>
                <w:sz w:val="24"/>
                <w:highlight w:val="none"/>
              </w:rPr>
            </w:r>
            <w:r/>
          </w:p>
        </w:tc>
        <w:tc>
          <w:tcPr>
            <w:tcW w:w="1143" w:type="dxa"/>
            <w:vAlign w:val="center"/>
            <w:textDirection w:val="lrTb"/>
            <w:noWrap w:val="false"/>
          </w:tcPr>
          <w:p>
            <w:pPr>
              <w:pStyle w:val="939"/>
              <w:jc w:val="center"/>
              <w:rPr>
                <w:rFonts w:ascii="宋体" w:hAnsi="宋体" w:cs="宋体"/>
                <w:color w:val="000000"/>
                <w:sz w:val="24"/>
                <w:highlight w:val="none"/>
              </w:rPr>
            </w:pPr>
            <w:r>
              <w:rPr>
                <w:rFonts w:hint="eastAsia" w:ascii="宋体" w:hAnsi="宋体" w:cs="宋体"/>
                <w:color w:val="000000"/>
                <w:sz w:val="24"/>
                <w:highlight w:val="none"/>
              </w:rPr>
              <w:t xml:space="preserve">GB3838-2002《地表水环境质量标准》</w:t>
            </w:r>
            <w:r>
              <w:rPr>
                <w:rFonts w:ascii="宋体" w:hAnsi="宋体" w:cs="宋体"/>
                <w:color w:val="000000"/>
                <w:sz w:val="24"/>
                <w:highlight w:val="none"/>
              </w:rPr>
            </w:r>
            <w:r/>
          </w:p>
        </w:tc>
      </w:tr>
    </w:tbl>
    <w:p>
      <w:pPr>
        <w:pStyle w:val="939"/>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(二)质控要求：</w:t>
      </w:r>
      <w:r>
        <w:rPr>
          <w:rFonts w:hint="eastAsia" w:ascii="宋体" w:hAnsi="宋体"/>
          <w:b/>
          <w:bCs/>
          <w:sz w:val="24"/>
          <w:szCs w:val="24"/>
          <w:highlight w:val="none"/>
        </w:rPr>
      </w:r>
      <w:r/>
    </w:p>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样品的采集、保存和管理、水质检测等应严格按照国家相关标准执行；实验室质量控制要满足精密度和准确度的要求。</w:t>
      </w:r>
      <w:r>
        <w:rPr>
          <w:rFonts w:hint="eastAsia" w:ascii="宋体" w:hAnsi="宋体"/>
          <w:sz w:val="24"/>
          <w:szCs w:val="24"/>
          <w:highlight w:val="none"/>
        </w:rPr>
      </w:r>
      <w:r/>
    </w:p>
    <w:p>
      <w:pPr>
        <w:pStyle w:val="939"/>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(三)报告要求：</w:t>
      </w:r>
      <w:r>
        <w:rPr>
          <w:rFonts w:hint="eastAsia" w:ascii="宋体" w:hAnsi="宋体"/>
          <w:b/>
          <w:bCs/>
          <w:sz w:val="24"/>
          <w:szCs w:val="24"/>
          <w:highlight w:val="none"/>
        </w:rPr>
      </w:r>
      <w:r/>
    </w:p>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成交单位在收到采购单位书面的采样检测通知后，必须按采购单位指定的日期、采样点位和检测项目完成样品采集工作，并且在采样完毕后30天内向采购单位提供检测报告一份。</w:t>
      </w:r>
      <w:r>
        <w:rPr>
          <w:rFonts w:hint="eastAsia" w:ascii="宋体" w:hAnsi="宋体"/>
          <w:sz w:val="24"/>
          <w:szCs w:val="24"/>
          <w:highlight w:val="none"/>
        </w:rPr>
      </w:r>
      <w:r/>
    </w:p>
    <w:p>
      <w:pPr>
        <w:pStyle w:val="939"/>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（四）样品考核说明：</w:t>
      </w:r>
      <w:r>
        <w:rPr>
          <w:rFonts w:hint="eastAsia" w:ascii="宋体" w:hAnsi="宋体"/>
          <w:b/>
          <w:bCs/>
          <w:sz w:val="24"/>
          <w:szCs w:val="24"/>
          <w:highlight w:val="none"/>
        </w:rPr>
      </w:r>
      <w:r/>
    </w:p>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1．样品领取时</w:t>
      </w:r>
      <w:r>
        <w:rPr>
          <w:rFonts w:hint="eastAsia" w:ascii="宋体" w:hAnsi="宋体"/>
          <w:sz w:val="24"/>
          <w:szCs w:val="24"/>
          <w:highlight w:val="none"/>
        </w:rPr>
        <w:t xml:space="preserve">间、地点：响应单位报名后，请于开标日期前两个工作日（2025年 月 日）上午9:30统一至江苏海外集团国际工程咨询有限公司抽签购买样品（两组）。盲样费为2000元（人民币贰仟圆整）。购买样品采用不记名方式，招标代理机构代为收取样品费用，仅向购买人提供标记编号的收款凭据。现场递交投标文件时应同时向招标代理机构出示收款凭据，并提供开票信息资料。在成交结果公告后，投标单位凭收款凭据至招标代理机构换取发票。</w:t>
      </w:r>
      <w:r>
        <w:rPr>
          <w:rFonts w:hint="eastAsia" w:ascii="宋体" w:hAnsi="宋体"/>
          <w:sz w:val="24"/>
          <w:szCs w:val="24"/>
          <w:highlight w:val="none"/>
        </w:rPr>
      </w:r>
      <w:r/>
    </w:p>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2．样品说明：样品为盲样，编号后由各响应单位通过抽签形式抽取样品序号，</w:t>
      </w:r>
      <w:r>
        <w:rPr>
          <w:rFonts w:hint="eastAsia" w:ascii="宋体" w:hAnsi="宋体"/>
          <w:sz w:val="24"/>
          <w:szCs w:val="24"/>
          <w:highlight w:val="none"/>
        </w:rPr>
        <w:t xml:space="preserve">然后发放样品并登记样品序号。样品登记表将密封，于评标时开启并提供给评标委员会。</w:t>
      </w:r>
      <w:r>
        <w:rPr>
          <w:rFonts w:hint="eastAsia" w:ascii="宋体" w:hAnsi="宋体"/>
          <w:sz w:val="24"/>
          <w:szCs w:val="24"/>
          <w:highlight w:val="none"/>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3．响应单位需将考核结果报告置于响应文件中，作为评标的评判依据之一。</w:t>
      </w:r>
      <w:r>
        <w:rPr>
          <w:rFonts w:hint="eastAsia" w:ascii="宋体" w:hAnsi="宋体"/>
          <w:sz w:val="24"/>
          <w:szCs w:val="24"/>
          <w:highlight w:val="none"/>
          <w:lang w:val="zh-CN"/>
        </w:rPr>
      </w:r>
      <w:r/>
    </w:p>
    <w:p>
      <w:pPr>
        <w:pStyle w:val="939"/>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（五）其他要求</w:t>
      </w:r>
      <w:r>
        <w:rPr>
          <w:rFonts w:hint="eastAsia" w:ascii="宋体" w:hAnsi="宋体"/>
          <w:b/>
          <w:bCs/>
          <w:sz w:val="24"/>
          <w:szCs w:val="24"/>
          <w:highlight w:val="none"/>
          <w:lang w:val="zh-CN"/>
        </w:rPr>
        <w:t xml:space="preserve">：</w:t>
      </w:r>
      <w:r>
        <w:rPr>
          <w:rFonts w:hint="eastAsia" w:ascii="宋体" w:hAnsi="宋体"/>
          <w:b/>
          <w:bCs/>
          <w:sz w:val="24"/>
          <w:szCs w:val="24"/>
          <w:highlight w:val="none"/>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1</w:t>
      </w:r>
      <w:r>
        <w:rPr>
          <w:rFonts w:hint="eastAsia" w:ascii="宋体" w:hAnsi="宋体"/>
          <w:sz w:val="24"/>
          <w:szCs w:val="24"/>
          <w:highlight w:val="none"/>
        </w:rPr>
        <w:t xml:space="preserve">.</w:t>
      </w:r>
      <w:r>
        <w:rPr>
          <w:rFonts w:hint="eastAsia" w:ascii="宋体" w:hAnsi="宋体"/>
          <w:sz w:val="24"/>
          <w:szCs w:val="24"/>
          <w:highlight w:val="none"/>
          <w:lang w:val="zh-CN"/>
        </w:rPr>
        <w:t xml:space="preserve">投标要求：本项目报投标总价，招标人后期不予增加任何费用，投标人须自行考虑投标风险。</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bookmarkStart w:id="1" w:name="_Toc57939233"/>
      <w:r/>
      <w:bookmarkStart w:id="2" w:name="_Toc167605687"/>
      <w:r/>
      <w:bookmarkStart w:id="3" w:name="_Toc70571638"/>
      <w:r/>
      <w:bookmarkStart w:id="4" w:name="_Toc78435740"/>
      <w:r/>
      <w:bookmarkStart w:id="5" w:name="_Toc111559225"/>
      <w:r/>
      <w:bookmarkStart w:id="6" w:name="_Toc57936675"/>
      <w:r/>
      <w:bookmarkStart w:id="7" w:name="_Toc178732976"/>
      <w:r/>
      <w:bookmarkStart w:id="8" w:name="_Toc78435554"/>
      <w:r/>
      <w:bookmarkStart w:id="9" w:name="_Toc57936344"/>
      <w:r>
        <w:rPr>
          <w:rFonts w:hint="eastAsia" w:ascii="宋体" w:hAnsi="宋体"/>
          <w:sz w:val="24"/>
          <w:szCs w:val="24"/>
          <w:highlight w:val="none"/>
          <w:lang w:val="zh-CN"/>
        </w:rPr>
        <w:t xml:space="preserve">报价说明</w:t>
      </w:r>
      <w:bookmarkEnd w:id="1"/>
      <w:r/>
      <w:bookmarkEnd w:id="2"/>
      <w:r/>
      <w:bookmarkEnd w:id="3"/>
      <w:r/>
      <w:bookmarkEnd w:id="4"/>
      <w:r/>
      <w:bookmarkEnd w:id="5"/>
      <w:r/>
      <w:bookmarkEnd w:id="6"/>
      <w:r/>
      <w:bookmarkEnd w:id="7"/>
      <w:r/>
      <w:bookmarkEnd w:id="8"/>
      <w:r/>
      <w:bookmarkEnd w:id="9"/>
      <w:r>
        <w:rPr>
          <w:rFonts w:hint="eastAsia" w:ascii="宋体" w:hAnsi="宋体"/>
          <w:sz w:val="24"/>
          <w:szCs w:val="24"/>
          <w:highlight w:val="none"/>
          <w:lang w:val="zh-CN"/>
        </w:rPr>
        <w:t xml:space="preserve">：报价包含检测仪器、化验分析设备及搬运费，包人工，包交通，包食宿，包数据收集及购买资料，包采样（样品的抽取、处置、传送和贮存、制备）、包测量不确定度的评估、检测、检验数据的分析、记录、专家咨询（如有需要）等相关的检测活动，包检测报告的编制及电子、纸质文稿（含递送），包工期，包安全及保险，包税费，等履行合同所有相关服务所需的一切费用以及风险。如有漏项，视同已包含在其它项目中，合同总价和单价不做调整。</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2．成交单位应对样品的分析数据有保密责任，不得泄漏给任何第三方。</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3．现场检测项目，必须在样品采集的同时进行测定。</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4．成交单位在服务期间，应能随时按受委托方要求提供原始记录等的抽检要求；如将承担的检测服务转包他人，或者出现数据弄虚作假欺骗用户，将被解除服务合同。</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5．为了确保项目监测质量，采购单位将各季度对成交供应商的监测质量等进行综合考核。考核结果将作为采购单位支付服务费用的重要依据。考核不合格的扣除质量管理费，质量管理费，根据考核情况合同实施完毕后一次。</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6．响应单位应对所投项目的全部内容进行报价，只投其中部分内容者，其标书将被拒绝。</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7．成交单位对服务缺陷不予更正，采购单位有权另请其他单位更正，所发生的费用由服务方承担。</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8．若成交单位在服务期间出现重大责任问题或考核严重不合格将被解除服务合同，成交单位被解除服务合同后，本项目重新招标。</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9．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责任。</w:t>
      </w:r>
      <w:r>
        <w:rPr>
          <w:rFonts w:hint="eastAsia" w:ascii="宋体" w:hAnsi="宋体"/>
          <w:sz w:val="24"/>
          <w:szCs w:val="24"/>
          <w:highlight w:val="none"/>
          <w:lang w:val="zh-CN"/>
        </w:rPr>
      </w:r>
      <w:r/>
    </w:p>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w:t>
      </w:r>
      <w:r>
        <w:rPr>
          <w:rFonts w:hint="eastAsia" w:ascii="宋体" w:hAnsi="宋体"/>
          <w:sz w:val="24"/>
          <w:szCs w:val="24"/>
          <w:highlight w:val="none"/>
          <w:lang w:val="zh-CN"/>
        </w:rPr>
        <w:t xml:space="preserve">．成交单位确定后，根据采购方提供的方案，指定的项目负责人，相对固定人员。项目负责人等未经采购方同意，不得擅自更换。在实施全过程中必须接受采购方的监督与指导。</w:t>
      </w:r>
      <w:r>
        <w:rPr>
          <w:rFonts w:hint="eastAsia" w:ascii="宋体" w:hAnsi="宋体"/>
          <w:sz w:val="24"/>
          <w:szCs w:val="24"/>
          <w:highlight w:val="none"/>
        </w:rPr>
      </w:r>
      <w:r/>
    </w:p>
    <w:p>
      <w:pPr>
        <w:pStyle w:val="939"/>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（六）综合说明：</w:t>
      </w:r>
      <w:r>
        <w:rPr>
          <w:rFonts w:hint="eastAsia" w:ascii="宋体" w:hAnsi="宋体"/>
          <w:b/>
          <w:bCs/>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1、供应商提供的服务能够至少达到以上要求，同时明确详细的服务方案。</w:t>
      </w:r>
      <w:r>
        <w:rPr>
          <w:rFonts w:hint="eastAsia" w:ascii="宋体" w:hAnsi="宋体" w:cs="宋体"/>
          <w:b/>
          <w:bCs/>
          <w:sz w:val="24"/>
          <w:szCs w:val="24"/>
          <w:highlight w:val="none"/>
        </w:rPr>
        <w:t xml:space="preserve">供应商成交后，提供详细的服务方案至采购单位审核，经采购单位审核通过后，作为成交供应商实施服务的依据。</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2、供应商必须承诺磋商文件中提出的全部要求，如果其中某些条款不响应时，应在文件中逐条列出，未列出的视同响应。</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3、供应商应对所投项目的全部内容进行报价，只投其中部分内容者，其响应文件将被拒绝。成交供应商对服务缺陷不予更正，采购方有权另请其他单位更正，所发生的费用由成交供应商承担。</w:t>
      </w:r>
      <w:r>
        <w:rPr>
          <w:rFonts w:hint="eastAsia"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4、响应报价为综合报价，包含完成全部服务内容所需的检测仪器、化验分析设备及搬运费、耗材、取样、报告出具、人工、</w:t>
      </w:r>
      <w:r>
        <w:rPr>
          <w:rFonts w:hint="eastAsia" w:ascii="宋体" w:hAnsi="宋体" w:cs="宋体"/>
          <w:sz w:val="24"/>
          <w:szCs w:val="24"/>
          <w:highlight w:val="none"/>
        </w:rPr>
        <w:t xml:space="preserve">交通、食宿、数据收集及购买资料、采样（样品的抽取、处置、传送和贮存、制备）、测量不确定度的评估、检测、检验数据的分析、记录、专家咨询（如有需要）等相关的检测活动、检测报告的编制及电子、纸质文稿（含递送）、安全及保险、税费等完成该项目工作所发生的全部费用以及投标人企业利润、税金和政策性文件规定及合同包含的所有风险、责任等一切费用。响应报价为最终报价，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cs="宋体"/>
          <w:sz w:val="24"/>
          <w:szCs w:val="24"/>
          <w:highlight w:val="none"/>
        </w:rPr>
      </w:r>
      <w:r/>
    </w:p>
    <w:p>
      <w:pPr>
        <w:pStyle w:val="939"/>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rPr>
          <w:rFonts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6、成交供应商其他服务要求：</w:t>
      </w:r>
      <w:r>
        <w:rPr>
          <w:rFonts w:hint="eastAsia"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（1）应服从并接受采购单位监督指导，并按时向采购单位移交已完成的成果资料；</w:t>
      </w:r>
      <w:r>
        <w:rPr>
          <w:rFonts w:hint="eastAsia"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（2）应对样品的分析数据有保密责任，不得泄漏给任何第三方。</w:t>
      </w:r>
      <w:r>
        <w:rPr>
          <w:rFonts w:hint="eastAsia"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（3）现场检测项目，必须在样品采集的同时进行测定；</w:t>
      </w:r>
      <w:r>
        <w:rPr>
          <w:rFonts w:hint="eastAsia" w:ascii="宋体" w:hAnsi="宋体" w:cs="宋体"/>
          <w:sz w:val="24"/>
          <w:szCs w:val="24"/>
          <w:highlight w:val="none"/>
        </w:rPr>
      </w:r>
      <w:r/>
    </w:p>
    <w:p>
      <w:pPr>
        <w:pStyle w:val="939"/>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（4）在服务期间，应能随时按受采购单位要求提供原始记录等的抽检要求；如将承担的检测服务转包他人，或者出现数据弄虚作假欺骗用户，将被解除服务合同。</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7、采购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rPr>
          <w:rFonts w:hint="eastAsia" w:ascii="宋体" w:hAnsi="宋体" w:cs="宋体"/>
          <w:sz w:val="24"/>
          <w:szCs w:val="22"/>
          <w:highlight w:val="none"/>
        </w:rPr>
      </w:r>
      <w:r/>
    </w:p>
    <w:p>
      <w:pPr>
        <w:pStyle w:val="939"/>
        <w:ind w:firstLine="480"/>
        <w:jc w:val="left"/>
        <w:spacing w:line="360" w:lineRule="auto"/>
        <w:rPr>
          <w:rFonts w:hint="eastAsia" w:ascii="宋体" w:hAnsi="宋体"/>
          <w:sz w:val="24"/>
          <w:szCs w:val="24"/>
          <w:highlight w:val="none"/>
        </w:rPr>
      </w:pPr>
      <w:r>
        <w:rPr>
          <w:rFonts w:hint="eastAsia" w:ascii="宋体" w:hAnsi="宋体" w:cs="宋体"/>
          <w:sz w:val="24"/>
          <w:szCs w:val="22"/>
          <w:highlight w:val="none"/>
        </w:rPr>
        <w:t xml:space="preserve">8、服务考核：</w:t>
      </w:r>
      <w:r>
        <w:rPr>
          <w:rFonts w:hint="eastAsia" w:ascii="宋体" w:hAnsi="宋体"/>
          <w:sz w:val="24"/>
          <w:szCs w:val="24"/>
          <w:highlight w:val="none"/>
        </w:rPr>
        <w:t xml:space="preserve">为了确保项目监测质量，采购单位将对成交供应商的监测质量等进行综合考核。考核结果将作为采购单位支付服务费用的重要依据。</w:t>
      </w:r>
      <w:r>
        <w:rPr>
          <w:rFonts w:hint="eastAsia" w:ascii="宋体" w:hAnsi="宋体"/>
          <w:sz w:val="24"/>
          <w:szCs w:val="24"/>
          <w:highlight w:val="none"/>
        </w:rPr>
      </w:r>
      <w:r/>
    </w:p>
    <w:p>
      <w:pPr>
        <w:pStyle w:val="939"/>
        <w:ind w:firstLine="480"/>
        <w:jc w:val="left"/>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9、成交供应商工作人员在岗履行职责期间（包括上下班途中），发生自身的人身伤害、伤亡，均由成交单位负责处理并承担经济和道义上的责任，采购单位不承担任何责任。</w:t>
      </w:r>
      <w:r>
        <w:rPr>
          <w:rFonts w:hint="eastAsia" w:ascii="宋体" w:hAnsi="宋体" w:cs="宋体"/>
          <w:sz w:val="24"/>
          <w:szCs w:val="22"/>
          <w:highlight w:val="none"/>
        </w:rPr>
      </w:r>
      <w:r/>
    </w:p>
    <w:p>
      <w:pPr>
        <w:pStyle w:val="939"/>
        <w:ind w:firstLine="424"/>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11、成交供应商对服务缺陷不予更正，甲方有权另请其他单位更正，所发生的费用由成交供应商承担。</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12、无论投标过程中的做法和结果如何，供应商自行承担所有与参加投标有关的全部费用。</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13、若成交供应商在服务期间，违反下列规定将被解除服务合同，并扣除剩余待支付费用：</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13.1、严禁将服务转包他人。</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13.2、出现重大责任问题。</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13.3、泄露相关保密信息。</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14、付款方式：详见合同特殊条款。</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15、凡涉及采购文件的补充说明和修改，均以苏州政府采购网发布的内容为准。</w:t>
      </w:r>
      <w:r>
        <w:rPr>
          <w:rFonts w:hint="eastAsia" w:ascii="宋体" w:hAnsi="宋体" w:cs="宋体"/>
          <w:sz w:val="24"/>
          <w:szCs w:val="24"/>
          <w:highlight w:val="none"/>
        </w:rPr>
      </w:r>
      <w:r/>
    </w:p>
    <w:p>
      <w:pPr>
        <w:pStyle w:val="939"/>
        <w:ind w:firstLine="482"/>
        <w:jc w:val="left"/>
        <w:spacing w:line="360" w:lineRule="auto"/>
        <w:tabs>
          <w:tab w:val="left" w:pos="360" w:leader="none"/>
          <w:tab w:val="left" w:pos="540" w:leader="none"/>
        </w:tabs>
        <w:rPr>
          <w:rFonts w:hint="eastAsia" w:ascii="宋体" w:hAnsi="宋体" w:cs="宋体"/>
          <w:b/>
          <w:sz w:val="24"/>
          <w:szCs w:val="24"/>
          <w:highlight w:val="none"/>
        </w:rPr>
      </w:pPr>
      <w:r>
        <w:rPr>
          <w:rFonts w:hint="eastAsia" w:ascii="宋体" w:hAnsi="宋体" w:cs="宋体"/>
          <w:b/>
          <w:sz w:val="24"/>
          <w:szCs w:val="24"/>
          <w:highlight w:val="none"/>
        </w:rPr>
        <w:t xml:space="preserve">五、磋商响应文件的组成及要求：</w:t>
      </w:r>
      <w:r>
        <w:rPr>
          <w:rFonts w:hint="eastAsia" w:ascii="宋体" w:hAnsi="宋体" w:cs="宋体"/>
          <w:b/>
          <w:sz w:val="24"/>
          <w:szCs w:val="24"/>
          <w:highlight w:val="none"/>
        </w:rPr>
      </w:r>
      <w:r/>
    </w:p>
    <w:p>
      <w:pPr>
        <w:pStyle w:val="939"/>
        <w:ind w:firstLine="482"/>
        <w:jc w:val="left"/>
        <w:spacing w:line="360" w:lineRule="auto"/>
        <w:tabs>
          <w:tab w:val="left" w:pos="142" w:leader="none"/>
        </w:tabs>
        <w:rPr>
          <w:rFonts w:hint="eastAsia" w:ascii="宋体" w:hAnsi="宋体" w:cs="宋体"/>
          <w:b/>
          <w:sz w:val="24"/>
          <w:szCs w:val="24"/>
          <w:highlight w:val="none"/>
        </w:rPr>
      </w:pPr>
      <w:r>
        <w:rPr>
          <w:rFonts w:hint="eastAsia" w:ascii="宋体" w:hAnsi="宋体" w:cs="宋体"/>
          <w:b/>
          <w:sz w:val="24"/>
          <w:szCs w:val="24"/>
          <w:highlight w:val="none"/>
        </w:rPr>
        <w:t xml:space="preserve">（一）文件组成：</w:t>
      </w:r>
      <w:r>
        <w:rPr>
          <w:rFonts w:hint="eastAsia" w:ascii="宋体" w:hAnsi="宋体" w:cs="宋体"/>
          <w:b/>
          <w:sz w:val="24"/>
          <w:szCs w:val="24"/>
          <w:highlight w:val="none"/>
        </w:rPr>
      </w:r>
      <w:r/>
    </w:p>
    <w:p>
      <w:pPr>
        <w:pStyle w:val="939"/>
        <w:ind w:firstLine="482"/>
        <w:jc w:val="left"/>
        <w:spacing w:line="360" w:lineRule="auto"/>
        <w:rPr>
          <w:rFonts w:ascii="宋体"/>
          <w:b/>
          <w:bCs/>
          <w:sz w:val="24"/>
          <w:highlight w:val="none"/>
        </w:rPr>
      </w:pPr>
      <w:r>
        <w:rPr>
          <w:rFonts w:hint="eastAsia" w:ascii="宋体"/>
          <w:b/>
          <w:bCs/>
          <w:sz w:val="24"/>
          <w:highlight w:val="none"/>
        </w:rPr>
        <w:t xml:space="preserve">基本目录</w:t>
      </w:r>
      <w:r>
        <w:rPr>
          <w:rFonts w:ascii="宋体"/>
          <w:b/>
          <w:bCs/>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1、封面；</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2、开标一览表（系统自动生成）；</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3、响应单位法定代表人授权委托书（如有授权）；</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4、响应单位法定代表人身份证扫描件、授权委托人身份证扫描件签公章（如有授权）；</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5、响应单位授权委托人社保缴纳证明签公章（如有授权）；</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6、投标（响应）保证承诺书；</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7、磋商响应单位基本情况表；</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8、采购需求所涉及到的其他材料等；</w:t>
      </w:r>
      <w:r>
        <w:rPr>
          <w:rFonts w:hint="eastAsia" w:ascii="宋体" w:hAnsi="宋体"/>
          <w:sz w:val="24"/>
          <w:highlight w:val="none"/>
        </w:rPr>
      </w:r>
      <w:r/>
    </w:p>
    <w:p>
      <w:pPr>
        <w:pStyle w:val="939"/>
        <w:ind w:firstLine="482"/>
        <w:jc w:val="left"/>
        <w:spacing w:line="360" w:lineRule="auto"/>
        <w:tabs>
          <w:tab w:val="left" w:pos="425" w:leader="none"/>
        </w:tabs>
        <w:rPr>
          <w:rFonts w:hint="eastAsia" w:ascii="Arial" w:hAnsi="Arial" w:eastAsia="Arial"/>
          <w:b/>
          <w:bCs/>
          <w:sz w:val="24"/>
          <w:szCs w:val="24"/>
          <w:highlight w:val="none"/>
        </w:rPr>
      </w:pPr>
      <w:r>
        <w:rPr>
          <w:rFonts w:hint="eastAsia" w:ascii="Arial" w:hAnsi="Arial" w:eastAsia="Arial"/>
          <w:b/>
          <w:bCs/>
          <w:sz w:val="24"/>
          <w:szCs w:val="24"/>
          <w:highlight w:val="none"/>
        </w:rPr>
        <w:t xml:space="preserve">资格条件</w:t>
      </w:r>
      <w:r>
        <w:rPr>
          <w:rFonts w:hint="eastAsia" w:ascii="Arial" w:hAnsi="Arial" w:eastAsia="Arial"/>
          <w:b/>
          <w:bCs/>
          <w:sz w:val="24"/>
          <w:szCs w:val="24"/>
          <w:highlight w:val="none"/>
        </w:rPr>
      </w:r>
      <w:r/>
    </w:p>
    <w:p>
      <w:pPr>
        <w:pStyle w:val="939"/>
        <w:jc w:val="left"/>
        <w:spacing w:line="360" w:lineRule="auto"/>
        <w:tabs>
          <w:tab w:val="left" w:pos="425" w:leader="none"/>
        </w:tabs>
        <w:rPr>
          <w:rFonts w:hint="eastAsia" w:ascii="宋体" w:hAnsi="宋体" w:cs="宋体"/>
          <w:sz w:val="24"/>
          <w:szCs w:val="24"/>
          <w:highlight w:val="none"/>
        </w:rPr>
      </w:pPr>
      <w:r>
        <w:rPr>
          <w:rFonts w:hint="eastAsia" w:ascii="Arial" w:hAnsi="Arial" w:eastAsia="Arial"/>
          <w:sz w:val="24"/>
          <w:szCs w:val="24"/>
          <w:highlight w:val="none"/>
        </w:rPr>
        <w:t xml:space="preserve">    </w:t>
      </w:r>
      <w:r>
        <w:rPr>
          <w:rFonts w:hint="eastAsia" w:ascii="宋体" w:hAnsi="宋体" w:cs="宋体"/>
          <w:sz w:val="24"/>
          <w:szCs w:val="24"/>
          <w:highlight w:val="none"/>
        </w:rPr>
        <w:t xml:space="preserve">9、响应供应商营业执照</w:t>
      </w:r>
      <w:r>
        <w:rPr>
          <w:rFonts w:hint="eastAsia" w:ascii="宋体" w:hAnsi="宋体" w:cs="宋体"/>
          <w:sz w:val="24"/>
          <w:highlight w:val="none"/>
        </w:rPr>
        <w:t xml:space="preserve">副本扫描件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10、响应供应商具有良好的商业信誉和健全的财务会计制度。提供包括但不限于最近一期财务报表或</w:t>
      </w:r>
      <w:r>
        <w:rPr>
          <w:rFonts w:hint="eastAsia" w:ascii="宋体" w:hAnsi="宋体" w:cs="宋体"/>
          <w:sz w:val="24"/>
          <w:highlight w:val="none"/>
        </w:rPr>
        <w:t xml:space="preserve">经审计的财务报告</w:t>
      </w:r>
      <w:r>
        <w:rPr>
          <w:rFonts w:hint="eastAsia" w:ascii="宋体" w:hAnsi="宋体" w:cs="宋体"/>
          <w:sz w:val="24"/>
          <w:szCs w:val="24"/>
          <w:highlight w:val="none"/>
        </w:rPr>
        <w:t xml:space="preserve">，其他组织、自然人及成立未满一年的法人应提供银行出具的资信证明；</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11、响应供应商具有履行合同所必需的设备和专业技术能力，提供证明材料或承诺；</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12、响应供应商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13、响应供应商参加政府采购活动前3年内在经营活动中没有重大违法记录的书面声明函；</w:t>
      </w:r>
      <w:r>
        <w:rPr>
          <w:rFonts w:hint="eastAsia" w:ascii="宋体" w:hAnsi="宋体"/>
          <w:sz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14、</w:t>
      </w:r>
      <w:r>
        <w:rPr>
          <w:rFonts w:hint="eastAsia"/>
          <w:color w:val="000000"/>
          <w:sz w:val="24"/>
          <w:szCs w:val="24"/>
          <w:highlight w:val="none"/>
        </w:rPr>
        <w:t xml:space="preserve">单位负责人为同一人或者存在直接控股、管理关系的不同供应商，不得参加同一合同项下的政府采购活动。提供</w:t>
      </w:r>
      <w:r>
        <w:rPr>
          <w:rFonts w:hint="eastAsia" w:ascii="宋体" w:hAnsi="宋体"/>
          <w:sz w:val="24"/>
          <w:highlight w:val="none"/>
        </w:rPr>
        <w:t xml:space="preserve">关于资格文件的声明函及</w:t>
      </w:r>
      <w:r>
        <w:rPr>
          <w:rFonts w:hint="eastAsia" w:ascii="宋体" w:hAnsi="宋体" w:cs="宋体"/>
          <w:bCs/>
          <w:color w:val="000000"/>
          <w:sz w:val="24"/>
          <w:szCs w:val="24"/>
          <w:highlight w:val="none"/>
          <w:lang w:val="zh-CN"/>
        </w:rPr>
        <w:t xml:space="preserve">供应商与其他单位存在控股、管理关系情况表</w:t>
      </w:r>
      <w:r>
        <w:rPr>
          <w:rFonts w:hint="eastAsia" w:ascii="宋体" w:hAnsi="宋体"/>
          <w:sz w:val="24"/>
          <w:highlight w:val="none"/>
        </w:rPr>
        <w:t xml:space="preserve">；</w:t>
      </w:r>
      <w:r>
        <w:rPr>
          <w:rFonts w:hint="eastAsia" w:ascii="宋体" w:hAnsi="宋体"/>
          <w:sz w:val="24"/>
          <w:highlight w:val="none"/>
        </w:rPr>
      </w:r>
      <w:r/>
    </w:p>
    <w:p>
      <w:pPr>
        <w:pStyle w:val="1063"/>
        <w:ind w:firstLine="468"/>
        <w:spacing w:line="360" w:lineRule="auto"/>
        <w:tabs>
          <w:tab w:val="left" w:pos="-720" w:leader="none"/>
        </w:tabs>
        <w:rPr>
          <w:rFonts w:ascii="宋体" w:hAnsi="宋体"/>
          <w:spacing w:val="0"/>
          <w:szCs w:val="20"/>
          <w:highlight w:val="none"/>
          <w:lang w:val="en-US" w:eastAsia="zh-CN"/>
        </w:rPr>
      </w:pPr>
      <w:r>
        <w:rPr>
          <w:rFonts w:hint="eastAsia" w:ascii="宋体" w:hAnsi="宋体"/>
          <w:szCs w:val="20"/>
          <w:highlight w:val="none"/>
          <w:lang w:val="en-US" w:eastAsia="zh-CN"/>
        </w:rPr>
        <w:t xml:space="preserve">15、</w:t>
      </w:r>
      <w:r>
        <w:rPr>
          <w:rFonts w:hint="eastAsia" w:ascii="宋体" w:hAnsi="宋体" w:cs="宋体"/>
          <w:bCs/>
          <w:color w:val="000000"/>
          <w:highlight w:val="none"/>
          <w:lang w:val="zh-CN" w:eastAsia="zh-CN"/>
        </w:rPr>
        <w:t xml:space="preserve">落实政府采购政策需满足的资格要求：本项目</w:t>
      </w:r>
      <w:r>
        <w:rPr>
          <w:rFonts w:hint="eastAsia" w:ascii="宋体" w:hAnsi="宋体" w:cs="宋体"/>
          <w:b/>
          <w:color w:val="000000"/>
          <w:highlight w:val="none"/>
          <w:u w:val="single"/>
          <w:lang w:val="zh-CN" w:eastAsia="zh-CN"/>
        </w:rPr>
        <w:t xml:space="preserve">专门面向中小企业</w:t>
      </w:r>
      <w:r>
        <w:rPr>
          <w:rFonts w:hint="eastAsia" w:ascii="宋体" w:hAnsi="宋体" w:cs="宋体"/>
          <w:bCs/>
          <w:color w:val="000000"/>
          <w:highlight w:val="none"/>
          <w:lang w:val="zh-CN" w:eastAsia="zh-CN"/>
        </w:rPr>
        <w:t xml:space="preserve">，所属行业为</w:t>
      </w:r>
      <w:r>
        <w:rPr>
          <w:rFonts w:hint="eastAsia" w:ascii="宋体" w:hAnsi="宋体" w:cs="宋体"/>
          <w:b/>
          <w:bCs/>
          <w:spacing w:val="3"/>
          <w:highlight w:val="none"/>
          <w:u w:val="single"/>
          <w:lang w:eastAsia="zh-CN"/>
        </w:rPr>
        <w:t xml:space="preserve">其他未列明行业</w:t>
      </w:r>
      <w:r>
        <w:rPr>
          <w:rFonts w:hint="eastAsia" w:ascii="宋体" w:hAnsi="宋体" w:cs="宋体"/>
          <w:bCs/>
          <w:color w:val="000000"/>
          <w:highlight w:val="none"/>
          <w:lang w:val="zh-CN" w:eastAsia="zh-CN"/>
        </w:rPr>
        <w:t xml:space="preserve">，</w:t>
      </w:r>
      <w:r>
        <w:rPr>
          <w:rFonts w:hint="eastAsia" w:ascii="宋体" w:hAnsi="宋体" w:cs="宋体"/>
          <w:bCs/>
          <w:color w:val="000000"/>
          <w:highlight w:val="none"/>
          <w:lang w:val="en-US" w:eastAsia="zh-CN"/>
        </w:rPr>
        <w:t xml:space="preserve">供应商</w:t>
      </w:r>
      <w:r>
        <w:rPr>
          <w:rFonts w:hint="eastAsia" w:ascii="宋体" w:hAnsi="宋体" w:cs="宋体"/>
          <w:bCs/>
          <w:color w:val="000000"/>
          <w:highlight w:val="none"/>
          <w:lang w:val="zh-CN" w:eastAsia="zh-CN"/>
        </w:rPr>
        <w:t xml:space="preserve">应为中小微企业或监狱企业或残疾人福利性单位。提供</w:t>
      </w:r>
      <w:r>
        <w:rPr>
          <w:rFonts w:hint="eastAsia" w:ascii="宋体" w:hAnsi="宋体" w:cs="宋体"/>
          <w:bCs/>
          <w:color w:val="000000"/>
          <w:highlight w:val="none"/>
          <w:lang w:val="en-US" w:eastAsia="zh-CN"/>
        </w:rPr>
        <w:t xml:space="preserve">对应的</w:t>
      </w:r>
      <w:r>
        <w:rPr>
          <w:rFonts w:hint="eastAsia" w:ascii="宋体" w:hAnsi="宋体" w:cs="宋体"/>
          <w:bCs/>
          <w:color w:val="000000"/>
          <w:highlight w:val="none"/>
          <w:lang w:val="zh-CN" w:eastAsia="zh-CN"/>
        </w:rPr>
        <w:t xml:space="preserve">《中小企业声明函》或《残疾人福利性单位声明函》或省级以上监狱管理局、戒毒管理局（含新疆生产建设兵团）出具的属于监狱企业的证明文件，否则不享受相应政府采购政策。</w:t>
      </w:r>
      <w:r>
        <w:rPr>
          <w:rFonts w:ascii="宋体" w:hAnsi="宋体"/>
          <w:spacing w:val="0"/>
          <w:szCs w:val="20"/>
          <w:highlight w:val="none"/>
          <w:lang w:val="en-US" w:eastAsia="zh-CN"/>
        </w:rPr>
      </w:r>
      <w:r/>
    </w:p>
    <w:p>
      <w:pPr>
        <w:pStyle w:val="939"/>
        <w:ind w:firstLine="482"/>
        <w:spacing w:line="360" w:lineRule="auto"/>
        <w:rPr>
          <w:rFonts w:ascii="宋体"/>
          <w:sz w:val="24"/>
          <w:highlight w:val="none"/>
        </w:rPr>
      </w:pPr>
      <w:r>
        <w:rPr>
          <w:rFonts w:hint="eastAsia" w:ascii="宋体"/>
          <w:sz w:val="24"/>
          <w:highlight w:val="none"/>
        </w:rPr>
        <w:t xml:space="preserve">16、响应供应商具有有效期内的检验检测机构资质认定证书，提供证书扫描件；</w:t>
      </w:r>
      <w:r>
        <w:rPr>
          <w:rFonts w:ascii="宋体"/>
          <w:sz w:val="24"/>
          <w:highlight w:val="none"/>
        </w:rPr>
      </w:r>
      <w:r/>
    </w:p>
    <w:p>
      <w:pPr>
        <w:pStyle w:val="939"/>
        <w:ind w:firstLine="482"/>
        <w:spacing w:line="360" w:lineRule="auto"/>
        <w:rPr>
          <w:rFonts w:ascii="宋体"/>
          <w:b/>
          <w:bCs/>
          <w:sz w:val="24"/>
          <w:highlight w:val="none"/>
        </w:rPr>
      </w:pPr>
      <w:r>
        <w:rPr>
          <w:rFonts w:hint="eastAsia" w:ascii="宋体"/>
          <w:b/>
          <w:bCs/>
          <w:sz w:val="24"/>
          <w:highlight w:val="none"/>
        </w:rPr>
        <w:t xml:space="preserve">符合条件</w:t>
      </w:r>
      <w:r>
        <w:rPr>
          <w:rFonts w:ascii="宋体"/>
          <w:b/>
          <w:bCs/>
          <w:sz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17、磋商响应函；</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18、磋商响应报价表及明细表；</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19、服务要求及商务条款偏离表；</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20、采购需求内要求提供的承诺；</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21、</w:t>
      </w:r>
      <w:r>
        <w:rPr>
          <w:rFonts w:hint="eastAsia" w:ascii="宋体" w:hAnsi="宋体" w:cs="宋体"/>
          <w:sz w:val="24"/>
          <w:highlight w:val="none"/>
        </w:rPr>
        <w:t xml:space="preserve">响应单位对磋商文件响应情况：由磋商小组自行查看，响应单位无需另行提供证明材料；</w:t>
      </w:r>
      <w:r>
        <w:rPr>
          <w:rFonts w:hint="eastAsia" w:ascii="宋体" w:hAnsi="宋体" w:cs="宋体"/>
          <w:sz w:val="24"/>
          <w:szCs w:val="24"/>
          <w:highlight w:val="none"/>
        </w:rPr>
      </w:r>
      <w:r/>
    </w:p>
    <w:p>
      <w:pPr>
        <w:pStyle w:val="939"/>
        <w:ind w:firstLine="482"/>
        <w:jc w:val="left"/>
        <w:spacing w:line="360" w:lineRule="auto"/>
        <w:rPr>
          <w:rFonts w:hint="eastAsia"/>
          <w:b/>
          <w:bCs/>
          <w:sz w:val="24"/>
          <w:highlight w:val="none"/>
        </w:rPr>
      </w:pPr>
      <w:r>
        <w:rPr>
          <w:rFonts w:hint="eastAsia"/>
          <w:b/>
          <w:bCs/>
          <w:sz w:val="24"/>
          <w:highlight w:val="none"/>
        </w:rPr>
        <w:t xml:space="preserve">综合评审评分项</w:t>
      </w:r>
      <w:r>
        <w:rPr>
          <w:rFonts w:hint="eastAsia"/>
          <w:b/>
          <w:bCs/>
          <w:sz w:val="24"/>
          <w:highlight w:val="none"/>
        </w:rPr>
      </w:r>
      <w:r/>
    </w:p>
    <w:p>
      <w:pPr>
        <w:pStyle w:val="939"/>
        <w:ind w:firstLine="480"/>
        <w:jc w:val="left"/>
        <w:spacing w:line="360" w:lineRule="auto"/>
        <w:tabs>
          <w:tab w:val="left" w:pos="425" w:leader="none"/>
        </w:tabs>
        <w:rPr>
          <w:rFonts w:hint="eastAsia" w:ascii="Arial" w:hAnsi="Arial" w:eastAsia="Arial"/>
          <w:spacing w:val="20"/>
          <w:sz w:val="24"/>
          <w:szCs w:val="24"/>
          <w:highlight w:val="none"/>
        </w:rPr>
      </w:pPr>
      <w:r>
        <w:rPr>
          <w:rFonts w:hint="eastAsia" w:ascii="宋体" w:hAnsi="宋体"/>
          <w:sz w:val="24"/>
          <w:highlight w:val="none"/>
        </w:rPr>
        <w:t xml:space="preserve">22、《</w:t>
      </w:r>
      <w:r>
        <w:rPr>
          <w:rFonts w:hint="eastAsia" w:ascii="Arial" w:hAnsi="Arial" w:eastAsia="Arial"/>
          <w:sz w:val="24"/>
          <w:szCs w:val="24"/>
          <w:highlight w:val="none"/>
        </w:rPr>
        <w:t xml:space="preserve">拟投入项目组人员一览表》《拟投入</w:t>
      </w:r>
      <w:r>
        <w:rPr>
          <w:rFonts w:hint="eastAsia" w:ascii="Arial" w:hAnsi="Arial" w:eastAsia="Arial"/>
          <w:spacing w:val="20"/>
          <w:sz w:val="24"/>
          <w:szCs w:val="24"/>
          <w:highlight w:val="none"/>
        </w:rPr>
        <w:t xml:space="preserve">项目负责人</w:t>
      </w:r>
      <w:r>
        <w:rPr>
          <w:rFonts w:ascii="Arial" w:hAnsi="Arial" w:eastAsia="Arial"/>
          <w:spacing w:val="20"/>
          <w:sz w:val="24"/>
          <w:szCs w:val="24"/>
          <w:highlight w:val="none"/>
        </w:rPr>
        <w:t xml:space="preserve">情况表</w:t>
      </w:r>
      <w:r>
        <w:rPr>
          <w:rFonts w:hint="eastAsia" w:ascii="Arial" w:hAnsi="Arial" w:eastAsia="Arial"/>
          <w:spacing w:val="20"/>
          <w:sz w:val="24"/>
          <w:szCs w:val="24"/>
          <w:highlight w:val="none"/>
        </w:rPr>
        <w:t xml:space="preserve">》；</w:t>
      </w:r>
      <w:r>
        <w:rPr>
          <w:rFonts w:hint="eastAsia" w:ascii="Arial" w:hAnsi="Arial" w:eastAsia="Arial"/>
          <w:spacing w:val="20"/>
          <w:sz w:val="24"/>
          <w:szCs w:val="24"/>
          <w:highlight w:val="none"/>
        </w:rPr>
      </w:r>
      <w:r/>
    </w:p>
    <w:p>
      <w:pPr>
        <w:pStyle w:val="939"/>
        <w:ind w:firstLine="480"/>
        <w:jc w:val="left"/>
        <w:spacing w:line="360" w:lineRule="auto"/>
        <w:tabs>
          <w:tab w:val="left" w:pos="425" w:leader="none"/>
        </w:tabs>
        <w:rPr>
          <w:rFonts w:hint="eastAsia" w:ascii="宋体" w:hAnsi="宋体"/>
          <w:sz w:val="24"/>
          <w:highlight w:val="none"/>
        </w:rPr>
      </w:pPr>
      <w:r>
        <w:rPr>
          <w:rFonts w:hint="eastAsia" w:ascii="宋体" w:hAnsi="宋体"/>
          <w:sz w:val="24"/>
          <w:highlight w:val="none"/>
        </w:rPr>
        <w:t xml:space="preserve">23、类似项目业绩一览表；</w:t>
      </w:r>
      <w:r>
        <w:rPr>
          <w:rFonts w:hint="eastAsia" w:ascii="宋体" w:hAnsi="宋体"/>
          <w:sz w:val="24"/>
          <w:highlight w:val="none"/>
        </w:rPr>
      </w:r>
      <w:r/>
    </w:p>
    <w:p>
      <w:pPr>
        <w:pStyle w:val="939"/>
        <w:ind w:firstLine="480"/>
        <w:jc w:val="left"/>
        <w:spacing w:line="360" w:lineRule="auto"/>
        <w:rPr>
          <w:rFonts w:hint="eastAsia" w:ascii="宋体" w:hAnsi="宋体"/>
          <w:sz w:val="24"/>
          <w:highlight w:val="none"/>
        </w:rPr>
      </w:pPr>
      <w:r>
        <w:rPr>
          <w:rFonts w:hint="eastAsia" w:ascii="宋体" w:hAnsi="宋体"/>
          <w:sz w:val="24"/>
          <w:highlight w:val="none"/>
        </w:rPr>
        <w:t xml:space="preserve">24、评分标准中所涉及到的相关材料；</w:t>
      </w:r>
      <w:r>
        <w:rPr>
          <w:rFonts w:hint="eastAsia" w:ascii="宋体" w:hAnsi="宋体"/>
          <w:sz w:val="24"/>
          <w:highlight w:val="none"/>
        </w:rPr>
      </w:r>
      <w:r/>
    </w:p>
    <w:p>
      <w:pPr>
        <w:pStyle w:val="939"/>
        <w:ind w:firstLine="482"/>
        <w:jc w:val="left"/>
        <w:spacing w:line="360" w:lineRule="auto"/>
        <w:rPr>
          <w:rFonts w:hint="eastAsia"/>
          <w:b/>
          <w:bCs/>
          <w:sz w:val="24"/>
          <w:highlight w:val="none"/>
        </w:rPr>
      </w:pPr>
      <w:r>
        <w:rPr>
          <w:rFonts w:hint="eastAsia"/>
          <w:b/>
          <w:bCs/>
          <w:sz w:val="24"/>
          <w:highlight w:val="none"/>
        </w:rPr>
        <w:t xml:space="preserve">价格折扣文件格式</w:t>
      </w:r>
      <w:r>
        <w:rPr>
          <w:rFonts w:hint="eastAsia"/>
          <w:b/>
          <w:bCs/>
          <w:sz w:val="24"/>
          <w:highlight w:val="none"/>
        </w:rPr>
      </w:r>
      <w:r/>
    </w:p>
    <w:p>
      <w:pPr>
        <w:pStyle w:val="939"/>
        <w:ind w:firstLine="480"/>
        <w:jc w:val="left"/>
        <w:spacing w:line="360" w:lineRule="auto"/>
        <w:tabs>
          <w:tab w:val="left" w:pos="425" w:leader="none"/>
        </w:tabs>
        <w:rPr>
          <w:rFonts w:hint="eastAsia" w:ascii="宋体" w:hAnsi="宋体" w:cs="宋体"/>
          <w:b/>
          <w:bCs/>
          <w:sz w:val="24"/>
          <w:szCs w:val="24"/>
          <w:highlight w:val="none"/>
        </w:rPr>
      </w:pPr>
      <w:r>
        <w:rPr>
          <w:rFonts w:hint="eastAsia" w:ascii="宋体" w:hAnsi="宋体" w:cs="宋体"/>
          <w:sz w:val="24"/>
          <w:szCs w:val="24"/>
          <w:highlight w:val="none"/>
        </w:rPr>
        <w:t xml:space="preserve">25、提供《中小企业声明函》或《残疾人福利性单位声明函》或省级以上监狱管理局、戒毒管理局（含新疆生产建设兵团）出具的属于监狱企业的证明文件，否则不享受相应政府采购政策。</w:t>
      </w:r>
      <w:r>
        <w:rPr>
          <w:rFonts w:hint="eastAsia" w:ascii="宋体" w:hAnsi="宋体" w:cs="宋体"/>
          <w:b/>
          <w:bCs/>
          <w:sz w:val="24"/>
          <w:szCs w:val="24"/>
          <w:highlight w:val="none"/>
        </w:rPr>
      </w:r>
      <w:r/>
    </w:p>
    <w:p>
      <w:pPr>
        <w:pStyle w:val="939"/>
        <w:ind w:firstLine="480"/>
        <w:jc w:val="left"/>
        <w:spacing w:line="360" w:lineRule="auto"/>
        <w:tabs>
          <w:tab w:val="left" w:pos="425" w:leader="none"/>
        </w:tabs>
        <w:rPr>
          <w:rFonts w:ascii="Arial" w:hAnsi="Arial" w:eastAsia="Arial"/>
          <w:sz w:val="24"/>
          <w:szCs w:val="24"/>
          <w:highlight w:val="none"/>
        </w:rPr>
      </w:pPr>
      <w:r>
        <w:rPr>
          <w:rFonts w:hint="eastAsia" w:ascii="Arial" w:hAnsi="Arial" w:eastAsia="Arial"/>
          <w:sz w:val="24"/>
          <w:szCs w:val="24"/>
          <w:highlight w:val="none"/>
        </w:rPr>
        <w:t xml:space="preserve">注：</w:t>
      </w:r>
      <w:r>
        <w:rPr>
          <w:rFonts w:hint="eastAsia" w:ascii="宋体" w:hAnsi="宋体" w:cs="宋体"/>
          <w:b/>
          <w:bCs/>
          <w:sz w:val="24"/>
          <w:szCs w:val="24"/>
          <w:highlight w:val="none"/>
        </w:rPr>
        <w:t xml:space="preserve">1、供应商应提交以上1-23条完整响应文件。否则，响应文件将因资格条件不符或未实质响应磋商文件而被判定为无效标。</w:t>
      </w:r>
      <w:r>
        <w:rPr>
          <w:rFonts w:ascii="Arial" w:hAnsi="Arial" w:eastAsia="Arial"/>
          <w:sz w:val="24"/>
          <w:szCs w:val="24"/>
          <w:highlight w:val="none"/>
        </w:rPr>
      </w:r>
      <w:r/>
    </w:p>
    <w:p>
      <w:pPr>
        <w:pStyle w:val="939"/>
        <w:ind w:firstLine="482"/>
        <w:jc w:val="left"/>
        <w:spacing w:line="360" w:lineRule="auto"/>
        <w:tabs>
          <w:tab w:val="left" w:pos="425" w:leader="none"/>
        </w:tabs>
        <w:rPr>
          <w:rFonts w:ascii="Arial" w:hAnsi="Arial" w:eastAsia="Arial"/>
          <w:sz w:val="24"/>
          <w:szCs w:val="24"/>
          <w:highlight w:val="none"/>
        </w:rPr>
      </w:pPr>
      <w:r>
        <w:rPr>
          <w:rFonts w:hint="eastAsia" w:ascii="Arial" w:hAnsi="Arial" w:eastAsia="Arial"/>
          <w:b/>
          <w:bCs/>
          <w:sz w:val="24"/>
          <w:szCs w:val="24"/>
          <w:highlight w:val="none"/>
        </w:rPr>
        <w:t xml:space="preserve">2、</w:t>
      </w:r>
      <w:r>
        <w:rPr>
          <w:rFonts w:hint="eastAsia" w:ascii="宋体" w:hAnsi="宋体"/>
          <w:b/>
          <w:sz w:val="24"/>
          <w:highlight w:val="none"/>
        </w:rPr>
        <w:t xml:space="preserve">制作电子投标（响应）文件时请与电子投标（响应）文件制作软件目录一一对应，将相关资料上传至相应模块。</w:t>
      </w:r>
      <w:r>
        <w:rPr>
          <w:rFonts w:ascii="Arial" w:hAnsi="Arial" w:eastAsia="Arial"/>
          <w:sz w:val="24"/>
          <w:szCs w:val="24"/>
          <w:highlight w:val="none"/>
        </w:rPr>
      </w:r>
      <w:r/>
    </w:p>
    <w:p>
      <w:pPr>
        <w:pStyle w:val="939"/>
        <w:ind w:firstLine="482"/>
        <w:spacing w:line="360" w:lineRule="auto"/>
        <w:rPr>
          <w:b/>
          <w:bCs/>
          <w:sz w:val="24"/>
          <w:highlight w:val="none"/>
        </w:rPr>
      </w:pPr>
      <w:r>
        <w:rPr>
          <w:rFonts w:hint="eastAsia" w:ascii="宋体" w:hAnsi="宋体"/>
          <w:b/>
          <w:sz w:val="24"/>
          <w:highlight w:val="none"/>
        </w:rPr>
        <w:t xml:space="preserve">3、供应商应保证上传的投标（响应）文件完整、清晰可辨认，若因上传资料过小或模糊不清等无法辨认的都视为该资料未提供。</w:t>
      </w:r>
      <w:r>
        <w:rPr>
          <w:b/>
          <w:bCs/>
          <w:sz w:val="24"/>
          <w:highlight w:val="none"/>
        </w:rPr>
      </w:r>
      <w:r/>
    </w:p>
    <w:p>
      <w:pPr>
        <w:pStyle w:val="939"/>
        <w:ind w:firstLine="482"/>
        <w:spacing w:line="360" w:lineRule="auto"/>
        <w:tabs>
          <w:tab w:val="left" w:pos="540" w:leader="none"/>
        </w:tabs>
        <w:rPr>
          <w:rFonts w:ascii="宋体" w:hAnsi="宋体"/>
          <w:b/>
          <w:bCs/>
          <w:sz w:val="24"/>
          <w:highlight w:val="none"/>
        </w:rPr>
      </w:pPr>
      <w:r>
        <w:rPr>
          <w:rFonts w:hint="eastAsia" w:ascii="宋体" w:hAnsi="宋体"/>
          <w:b/>
          <w:bCs/>
          <w:sz w:val="24"/>
          <w:highlight w:val="none"/>
        </w:rPr>
        <w:t xml:space="preserve">4、</w:t>
      </w:r>
      <w:r>
        <w:rPr>
          <w:rFonts w:ascii="宋体" w:hAnsi="宋体"/>
          <w:b/>
          <w:bCs/>
          <w:sz w:val="24"/>
          <w:highlight w:val="none"/>
        </w:rPr>
        <w:t xml:space="preserve">响应单位必须保证全部响应资料的真实性，如有虚假或对采购文件所要求说明的情况故意隐瞒或虚报，视为不实质性响应</w:t>
      </w:r>
      <w:r>
        <w:rPr>
          <w:rFonts w:hint="eastAsia" w:ascii="宋体" w:hAnsi="宋体"/>
          <w:b/>
          <w:bCs/>
          <w:sz w:val="24"/>
          <w:highlight w:val="none"/>
        </w:rPr>
        <w:t xml:space="preserve">磋商</w:t>
      </w:r>
      <w:r>
        <w:rPr>
          <w:rFonts w:ascii="宋体" w:hAnsi="宋体"/>
          <w:b/>
          <w:bCs/>
          <w:sz w:val="24"/>
          <w:highlight w:val="none"/>
        </w:rPr>
        <w:t xml:space="preserve">文件，响应无效。</w:t>
      </w:r>
      <w:r>
        <w:rPr>
          <w:rFonts w:ascii="宋体" w:hAnsi="宋体"/>
          <w:b/>
          <w:bCs/>
          <w:sz w:val="24"/>
          <w:highlight w:val="none"/>
        </w:rPr>
      </w:r>
      <w:r/>
    </w:p>
    <w:p>
      <w:pPr>
        <w:pStyle w:val="939"/>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（二）文件要求：</w:t>
      </w:r>
      <w:r>
        <w:rPr>
          <w:rFonts w:hint="eastAsia" w:ascii="宋体" w:hAnsi="宋体" w:cs="宋体"/>
          <w:b/>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采用电子网上招投标，请使用“苏州市政府采购客户端”工具制作电子响应文件，操作方法详见《苏州市政府采购交易管理系统供应商操作手册》（电子版）。并在电子响应文件解密截止时间之前对响应文件进行加密并上传，否则视为放弃参加该采购项目。</w:t>
      </w:r>
      <w:r>
        <w:rPr>
          <w:rFonts w:hint="eastAsia" w:ascii="宋体" w:hAnsi="宋体" w:cs="宋体"/>
          <w:sz w:val="24"/>
          <w:szCs w:val="24"/>
          <w:highlight w:val="none"/>
        </w:rPr>
      </w:r>
      <w:r/>
    </w:p>
    <w:p>
      <w:pPr>
        <w:pStyle w:val="939"/>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（三）磋商综合说明：</w:t>
      </w:r>
      <w:r>
        <w:rPr>
          <w:rFonts w:hint="eastAsia" w:ascii="宋体" w:hAnsi="宋体" w:cs="宋体"/>
          <w:b/>
          <w:sz w:val="24"/>
          <w:szCs w:val="24"/>
          <w:highlight w:val="none"/>
        </w:rPr>
      </w:r>
      <w:r/>
    </w:p>
    <w:p>
      <w:pPr>
        <w:pStyle w:val="939"/>
        <w:numPr>
          <w:ilvl w:val="0"/>
          <w:numId w:val="3"/>
        </w:numPr>
        <w:ind w:left="0"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各供应商须对本项目全部内容进行响应，只报其中部分内容的，为无效报价，并不得出现选择性报价。</w:t>
      </w:r>
      <w:r>
        <w:rPr>
          <w:rFonts w:hint="eastAsia" w:ascii="宋体" w:hAnsi="宋体" w:cs="宋体"/>
          <w:sz w:val="24"/>
          <w:szCs w:val="24"/>
          <w:highlight w:val="none"/>
        </w:rPr>
      </w:r>
      <w:r/>
    </w:p>
    <w:p>
      <w:pPr>
        <w:pStyle w:val="939"/>
        <w:numPr>
          <w:ilvl w:val="0"/>
          <w:numId w:val="3"/>
        </w:numPr>
        <w:ind w:left="0"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供应商必须承诺磋商采购文件提出的全部要求，如果以其中某些条款不响应时，应在文件中列出。</w:t>
      </w:r>
      <w:r>
        <w:rPr>
          <w:rFonts w:hint="eastAsia" w:ascii="宋体" w:hAnsi="宋体" w:cs="宋体"/>
          <w:sz w:val="24"/>
          <w:szCs w:val="24"/>
          <w:highlight w:val="none"/>
        </w:rPr>
      </w:r>
      <w:r/>
    </w:p>
    <w:p>
      <w:pPr>
        <w:pStyle w:val="939"/>
        <w:numPr>
          <w:ilvl w:val="0"/>
          <w:numId w:val="3"/>
        </w:numPr>
        <w:ind w:left="0" w:firstLine="480"/>
        <w:jc w:val="left"/>
        <w:spacing w:line="360" w:lineRule="auto"/>
        <w:tabs>
          <w:tab w:val="left" w:pos="425" w:leader="none"/>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成交服务费：服务费按苏财购告【2016】31号规定的收费标准，领取成交通知书时成交单位向采购代理机构一次性付清。</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收费标准：预算金额100万以下费率为预算金额的1.5%。</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预算金额100万-500万费率为预算金额的1.1%。</w:t>
      </w:r>
      <w:r>
        <w:rPr>
          <w:rFonts w:hint="eastAsia" w:ascii="宋体" w:hAnsi="宋体" w:cs="宋体"/>
          <w:sz w:val="24"/>
          <w:szCs w:val="24"/>
          <w:highlight w:val="none"/>
        </w:rPr>
      </w:r>
      <w:r/>
    </w:p>
    <w:p>
      <w:pPr>
        <w:pStyle w:val="939"/>
        <w:numPr>
          <w:ilvl w:val="0"/>
          <w:numId w:val="3"/>
        </w:numPr>
        <w:ind w:left="0" w:firstLine="480"/>
        <w:jc w:val="left"/>
        <w:spacing w:line="360" w:lineRule="auto"/>
        <w:tabs>
          <w:tab w:val="left" w:pos="425" w:leader="none"/>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知识产权：</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应保证甲方免除且乙方承担由于甲方在其本国使用该设备所需的设备和设计或其任何一部分时而引起第三方提出的侵犯专利权、商标权或工业设计权的起诉、行动、行政程序索赔、请求等以及甲方为此而产生的损失和损害、费用和支出（包括律师费）。</w:t>
      </w:r>
      <w:r>
        <w:rPr>
          <w:rFonts w:hint="eastAsia" w:ascii="宋体" w:hAnsi="宋体" w:cs="宋体"/>
          <w:sz w:val="24"/>
          <w:szCs w:val="24"/>
          <w:highlight w:val="none"/>
        </w:rPr>
      </w:r>
      <w:r/>
    </w:p>
    <w:p>
      <w:pPr>
        <w:pStyle w:val="939"/>
        <w:ind w:firstLine="480"/>
        <w:jc w:val="left"/>
        <w:spacing w:line="360" w:lineRule="auto"/>
        <w:tabs>
          <w:tab w:val="left" w:pos="425" w:leader="none"/>
        </w:tabs>
        <w:rPr>
          <w:rFonts w:ascii="宋体" w:hAnsi="宋体"/>
          <w:sz w:val="24"/>
          <w:szCs w:val="24"/>
          <w:highlight w:val="none"/>
        </w:rPr>
      </w:pPr>
      <w:r>
        <w:rPr>
          <w:rFonts w:hint="eastAsia" w:ascii="宋体" w:hAnsi="宋体"/>
          <w:sz w:val="24"/>
          <w:szCs w:val="24"/>
          <w:highlight w:val="none"/>
        </w:rPr>
        <w:t xml:space="preserve">5.磋商说明：</w:t>
      </w:r>
      <w:r>
        <w:rPr>
          <w:rFonts w:ascii="宋体" w:hAnsi="宋体"/>
          <w:sz w:val="24"/>
          <w:szCs w:val="24"/>
          <w:highlight w:val="none"/>
        </w:rPr>
      </w:r>
      <w:r/>
    </w:p>
    <w:p>
      <w:pPr>
        <w:pStyle w:val="939"/>
        <w:ind w:left="420"/>
        <w:jc w:val="left"/>
        <w:spacing w:line="360" w:lineRule="auto"/>
        <w:tabs>
          <w:tab w:val="left" w:pos="420" w:leader="none"/>
        </w:tabs>
        <w:rPr>
          <w:rFonts w:ascii="宋体" w:hAnsi="宋体"/>
          <w:sz w:val="24"/>
          <w:szCs w:val="24"/>
          <w:highlight w:val="none"/>
        </w:rPr>
      </w:pPr>
      <w:r>
        <w:rPr>
          <w:rFonts w:hint="eastAsia" w:ascii="宋体" w:hAnsi="宋体"/>
          <w:sz w:val="24"/>
          <w:szCs w:val="24"/>
          <w:highlight w:val="none"/>
        </w:rPr>
        <w:t xml:space="preserve">（1）参加磋商的供应商必须提供磋商代表的身份证明原件（法定代表人为磋商代表的可不提供）；</w:t>
      </w:r>
      <w:r>
        <w:rPr>
          <w:rFonts w:ascii="宋体" w:hAnsi="宋体"/>
          <w:sz w:val="24"/>
          <w:szCs w:val="24"/>
          <w:highlight w:val="none"/>
        </w:rPr>
      </w:r>
      <w:r/>
    </w:p>
    <w:p>
      <w:pPr>
        <w:pStyle w:val="939"/>
        <w:ind w:left="420"/>
        <w:jc w:val="left"/>
        <w:spacing w:line="360" w:lineRule="auto"/>
        <w:tabs>
          <w:tab w:val="left" w:pos="420" w:leader="none"/>
        </w:tabs>
        <w:rPr>
          <w:rFonts w:ascii="宋体" w:hAnsi="宋体"/>
          <w:sz w:val="24"/>
          <w:szCs w:val="24"/>
          <w:highlight w:val="none"/>
        </w:rPr>
      </w:pPr>
      <w:r>
        <w:rPr>
          <w:rFonts w:hint="eastAsia" w:ascii="宋体" w:hAnsi="宋体"/>
          <w:sz w:val="24"/>
          <w:szCs w:val="24"/>
          <w:highlight w:val="none"/>
        </w:rPr>
        <w:t xml:space="preserve">（2）磋商响应文件的签署不符合要求的，磋商响应文件将被拒绝；</w:t>
      </w:r>
      <w:r>
        <w:rPr>
          <w:rFonts w:ascii="宋体" w:hAnsi="宋体"/>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（3）响应文件属下列情况之一的，磋商小组将</w:t>
      </w:r>
      <w:r>
        <w:rPr>
          <w:rFonts w:hint="eastAsia" w:ascii="宋体" w:hAnsi="宋体"/>
          <w:b/>
          <w:sz w:val="24"/>
          <w:szCs w:val="24"/>
          <w:highlight w:val="none"/>
        </w:rPr>
        <w:t xml:space="preserve">按无效投标处理</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1）响应文件载明的投标有效期短于磋商文件规定；</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2）响应文件载明的招标项目完成期限不满足磋商文件规定；</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3）响应文件载明的履约保证、付款方式不满足磋商文件规定；</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4）响应文件未按磋商文件规定的格式填写或递交，内容不全或关键字迹模糊、无法辨认的，从而影响响应文件有效性；</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5）不同供应商的响应文件以及响应文件制作过程出现了磋商小组认为不应当雷同的情况的；</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6）不同供应商的响应文件存在“视为串通投标”的情形；</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7）供应商的报价存在选择性的；</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8）供应商的报价或响应只响应了项目中部分招标内容；</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9）供应商拒绝修正错误影响评标的；</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10）响应文件不符合磋商文件规定的其他实质性条款；</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11）响应文件存在磋商文件规定的其他无效投标情形的；</w:t>
      </w:r>
      <w:r>
        <w:rPr>
          <w:rFonts w:hint="eastAsia" w:ascii="宋体" w:hAnsi="宋体"/>
          <w:bCs/>
          <w:sz w:val="24"/>
          <w:szCs w:val="24"/>
          <w:highlight w:val="none"/>
        </w:rPr>
      </w:r>
      <w:r/>
    </w:p>
    <w:p>
      <w:pPr>
        <w:pStyle w:val="939"/>
        <w:ind w:firstLine="480"/>
        <w:spacing w:line="360" w:lineRule="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12）供应商的响应报价（含最后报价）超过采购预算（含每标段预算）的；</w:t>
      </w:r>
      <w:r>
        <w:rPr>
          <w:rFonts w:hint="eastAsia" w:ascii="宋体" w:hAnsi="宋体"/>
          <w:bCs/>
          <w:sz w:val="24"/>
          <w:szCs w:val="24"/>
          <w:highlight w:val="none"/>
        </w:rPr>
      </w:r>
      <w:r/>
    </w:p>
    <w:p>
      <w:pPr>
        <w:pStyle w:val="957"/>
        <w:ind w:firstLine="480"/>
        <w:rPr>
          <w:rFonts w:hint="eastAsia"/>
          <w:highlight w:val="none"/>
        </w:rPr>
      </w:pPr>
      <w:r>
        <w:rPr>
          <w:rFonts w:hint="eastAsia" w:ascii="宋体" w:hAnsi="宋体"/>
          <w:bCs/>
          <w:sz w:val="24"/>
          <w:szCs w:val="24"/>
          <w:highlight w:val="none"/>
        </w:rPr>
        <w:t xml:space="preserve">13）不同供应商响应文件‘机器码一致’的；</w:t>
      </w:r>
      <w:r>
        <w:rPr>
          <w:rFonts w:hint="eastAsia"/>
          <w:highlight w:val="none"/>
        </w:rPr>
      </w:r>
      <w:r/>
    </w:p>
    <w:p>
      <w:pPr>
        <w:pStyle w:val="939"/>
        <w:ind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bCs/>
          <w:sz w:val="24"/>
          <w:szCs w:val="24"/>
          <w:highlight w:val="none"/>
        </w:rPr>
        <w:t xml:space="preserve">14）供应商资格不符合磋商文件要求的。</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6.项目的终止</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出现下列情形之一的，将终止采购活动：</w:t>
      </w:r>
      <w:r>
        <w:rPr>
          <w:rFonts w:hint="eastAsia" w:ascii="宋体" w:hAnsi="宋体" w:cs="宋体"/>
          <w:sz w:val="24"/>
          <w:szCs w:val="24"/>
          <w:highlight w:val="none"/>
        </w:rPr>
      </w:r>
      <w:r/>
    </w:p>
    <w:p>
      <w:pPr>
        <w:pStyle w:val="939"/>
        <w:numPr>
          <w:ilvl w:val="0"/>
          <w:numId w:val="4"/>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因情况变化，不再符合规定的竞争性磋商采购方式适用情形的；</w:t>
      </w:r>
      <w:r>
        <w:rPr>
          <w:rFonts w:hint="eastAsia" w:ascii="宋体" w:hAnsi="宋体" w:cs="宋体"/>
          <w:sz w:val="24"/>
          <w:szCs w:val="24"/>
          <w:highlight w:val="none"/>
        </w:rPr>
      </w:r>
      <w:r/>
    </w:p>
    <w:p>
      <w:pPr>
        <w:pStyle w:val="939"/>
        <w:numPr>
          <w:ilvl w:val="0"/>
          <w:numId w:val="4"/>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出现影响采购公正的违法、违规行为的；</w:t>
      </w:r>
      <w:r>
        <w:rPr>
          <w:rFonts w:hint="eastAsia" w:ascii="宋体" w:hAnsi="宋体" w:cs="宋体"/>
          <w:sz w:val="24"/>
          <w:szCs w:val="24"/>
          <w:highlight w:val="none"/>
        </w:rPr>
      </w:r>
      <w:r/>
    </w:p>
    <w:p>
      <w:pPr>
        <w:pStyle w:val="939"/>
        <w:numPr>
          <w:ilvl w:val="0"/>
          <w:numId w:val="4"/>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在采购过程中符合竞争要求的供应商或者报价未超过采购预算</w:t>
      </w:r>
      <w:r>
        <w:rPr>
          <w:rFonts w:hint="eastAsia" w:ascii="宋体" w:hAnsi="宋体"/>
          <w:bCs/>
          <w:sz w:val="24"/>
          <w:szCs w:val="24"/>
          <w:highlight w:val="none"/>
        </w:rPr>
        <w:t xml:space="preserve">（含每标段预算）</w:t>
      </w:r>
      <w:r>
        <w:rPr>
          <w:rFonts w:hint="eastAsia" w:ascii="宋体" w:hAnsi="宋体" w:cs="宋体"/>
          <w:sz w:val="24"/>
          <w:szCs w:val="24"/>
          <w:highlight w:val="none"/>
        </w:rPr>
        <w:t xml:space="preserve">的供应商不足三家的。</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7.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rPr>
          <w:rFonts w:hint="eastAsia" w:ascii="宋体" w:hAnsi="宋体" w:cs="宋体"/>
          <w:sz w:val="24"/>
          <w:szCs w:val="24"/>
          <w:highlight w:val="none"/>
        </w:rPr>
      </w:r>
      <w:r/>
    </w:p>
    <w:p>
      <w:pPr>
        <w:pStyle w:val="939"/>
        <w:ind w:firstLine="480"/>
        <w:jc w:val="left"/>
        <w:spacing w:line="360" w:lineRule="auto"/>
        <w:tabs>
          <w:tab w:val="left" w:pos="425" w:leader="none"/>
        </w:tabs>
        <w:rPr>
          <w:rFonts w:hint="eastAsia" w:ascii="宋体" w:hAnsi="宋体" w:cs="宋体"/>
          <w:b/>
          <w:sz w:val="24"/>
          <w:szCs w:val="24"/>
          <w:highlight w:val="none"/>
        </w:rPr>
      </w:pPr>
      <w:r>
        <w:rPr>
          <w:rFonts w:hint="eastAsia" w:ascii="宋体" w:hAnsi="宋体" w:cs="宋体"/>
          <w:sz w:val="24"/>
          <w:szCs w:val="24"/>
          <w:highlight w:val="none"/>
        </w:rPr>
        <w:t xml:space="preserve">8.凡涉及磋商采购文件的补充说明和修改，均以苏州政府采购网上发布的通知为准。</w:t>
      </w:r>
      <w:r>
        <w:rPr>
          <w:rFonts w:hint="eastAsia" w:ascii="宋体" w:hAnsi="宋体" w:cs="宋体"/>
          <w:b/>
          <w:sz w:val="24"/>
          <w:szCs w:val="24"/>
          <w:highlight w:val="none"/>
        </w:rPr>
      </w:r>
      <w:r/>
    </w:p>
    <w:p>
      <w:pPr>
        <w:pStyle w:val="939"/>
        <w:ind w:firstLine="482"/>
        <w:jc w:val="left"/>
        <w:spacing w:line="360" w:lineRule="auto"/>
        <w:tabs>
          <w:tab w:val="left" w:pos="425"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9.落实政府采购政策：</w:t>
      </w:r>
      <w:r>
        <w:rPr>
          <w:rFonts w:hint="eastAsia" w:ascii="宋体" w:hAnsi="宋体" w:cs="宋体"/>
          <w:b/>
          <w:bCs/>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9.1</w:t>
      </w:r>
      <w:r>
        <w:rPr>
          <w:rFonts w:hint="eastAsia" w:ascii="宋体" w:hAnsi="宋体" w:cs="宋体"/>
          <w:sz w:val="24"/>
          <w:szCs w:val="24"/>
          <w:highlight w:val="none"/>
        </w:rPr>
        <w:t xml:space="preserve">根据</w:t>
      </w:r>
      <w:r>
        <w:rPr>
          <w:rFonts w:hint="eastAsia" w:ascii="宋体" w:hAnsi="宋体" w:cs="宋体"/>
          <w:sz w:val="24"/>
          <w:szCs w:val="22"/>
          <w:highlight w:val="none"/>
        </w:rPr>
        <w:t xml:space="preserve">财政部、工业和信息化部关于印发意见“财库〔2020〕46号” 关于印发《政府采购促进中小企业发展管理办法》的通知规定和</w:t>
      </w:r>
      <w:r>
        <w:rPr>
          <w:rFonts w:hint="eastAsia" w:ascii="宋体" w:hAnsi="宋体" w:cs="宋体"/>
          <w:sz w:val="24"/>
          <w:szCs w:val="24"/>
          <w:highlight w:val="none"/>
        </w:rPr>
        <w:t xml:space="preserve">苏州市财政局《关于贯彻执行绿色采购、促进残疾人就业和支持监狱企业发展有关政策的通知》（苏财购（2019）10号）文件的规定：</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（一）节能产品和环境标志产品</w:t>
      </w:r>
      <w:r>
        <w:rPr>
          <w:rFonts w:hint="eastAsia"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本项目不涉及节能产品和环境标志产品。</w:t>
      </w:r>
      <w:r>
        <w:rPr>
          <w:rFonts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ascii="宋体" w:hAnsi="宋体" w:cs="宋体"/>
          <w:sz w:val="24"/>
          <w:szCs w:val="24"/>
          <w:highlight w:val="none"/>
        </w:rPr>
        <w:t xml:space="preserve">。 </w:t>
      </w:r>
      <w:r>
        <w:rPr>
          <w:rFonts w:hint="eastAsia" w:ascii="宋体" w:hAnsi="宋体" w:cs="宋体"/>
          <w:sz w:val="24"/>
          <w:szCs w:val="24"/>
          <w:highlight w:val="none"/>
        </w:rPr>
      </w:r>
      <w:r/>
    </w:p>
    <w:p>
      <w:pPr>
        <w:pStyle w:val="939"/>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（二）促进中小企业发展、残疾人就业和支持监狱企业发展有关政策：</w:t>
      </w:r>
      <w:r>
        <w:rPr>
          <w:rFonts w:hint="eastAsia" w:ascii="宋体" w:hAnsi="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（1）本项目为</w:t>
      </w:r>
      <w:r>
        <w:rPr>
          <w:rFonts w:hint="eastAsia" w:ascii="宋体" w:hAnsi="宋体" w:cs="宋体"/>
          <w:b/>
          <w:bCs/>
          <w:sz w:val="24"/>
          <w:szCs w:val="24"/>
          <w:highlight w:val="none"/>
          <w:u w:val="single"/>
        </w:rPr>
        <w:t xml:space="preserve">专门面向中小企业采购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9"/>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w:t>
      </w:r>
      <w:r>
        <w:rPr>
          <w:rFonts w:hint="eastAsia" w:ascii="宋体" w:hAnsi="宋体" w:cs="宋体"/>
          <w:b/>
          <w:bCs/>
          <w:sz w:val="24"/>
          <w:szCs w:val="24"/>
          <w:highlight w:val="none"/>
        </w:rPr>
        <w:t xml:space="preserve">则需根据《中小企业划型标准规定》（工信部联企业〔2011〕300号）提交《中小企业声明函》并加盖公章，《中小企业声明函》中所填的行业应与本采购标的对应的中小企业划分标准所属行业一致，声明函未签公章或未提交声明函或所提交的声明函中行业与本采购标的对应的中小企业划分标准所属行业不一致不享受相关政策。</w:t>
      </w:r>
      <w:r>
        <w:rPr>
          <w:rFonts w:hint="eastAsia" w:ascii="宋体" w:hAnsi="宋体" w:cs="宋体"/>
          <w:b/>
          <w:bCs/>
          <w:sz w:val="24"/>
          <w:szCs w:val="24"/>
          <w:highlight w:val="none"/>
        </w:rPr>
      </w:r>
      <w:r/>
    </w:p>
    <w:p>
      <w:pPr>
        <w:pStyle w:val="939"/>
        <w:ind w:firstLine="480"/>
        <w:spacing w:line="360" w:lineRule="auto"/>
        <w:rPr>
          <w:rFonts w:hint="eastAsia" w:ascii="宋体" w:hAnsi="宋体" w:cs="宋体"/>
          <w:b/>
          <w:bCs/>
          <w:sz w:val="24"/>
          <w:szCs w:val="24"/>
          <w:highlight w:val="none"/>
          <w:u w:val="single"/>
        </w:rPr>
      </w:pPr>
      <w:r>
        <w:rPr>
          <w:rFonts w:hint="eastAsia" w:ascii="宋体" w:hAnsi="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i/>
          <w:iCs/>
          <w:sz w:val="24"/>
          <w:szCs w:val="24"/>
          <w:highlight w:val="none"/>
          <w:u w:val="single"/>
        </w:rPr>
        <w:t xml:space="preserve">服务类项目中供应商若使用退休人员，将不享受相关扶持政策。</w:t>
      </w:r>
      <w:r>
        <w:rPr>
          <w:rFonts w:hint="eastAsia" w:ascii="宋体" w:hAnsi="宋体" w:cs="宋体"/>
          <w:b/>
          <w:bCs/>
          <w:sz w:val="24"/>
          <w:szCs w:val="24"/>
          <w:highlight w:val="none"/>
          <w:u w:val="single"/>
        </w:rPr>
      </w:r>
      <w:r/>
    </w:p>
    <w:p>
      <w:pPr>
        <w:pStyle w:val="939"/>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i/>
          <w:iCs/>
          <w:sz w:val="24"/>
          <w:szCs w:val="24"/>
          <w:highlight w:val="none"/>
          <w:u w:val="single"/>
        </w:rPr>
        <w:t xml:space="preserve">其他未列明行业</w:t>
      </w:r>
      <w:r>
        <w:rPr>
          <w:rFonts w:hint="eastAsia" w:ascii="宋体" w:hAnsi="宋体" w:cs="宋体"/>
          <w:b/>
          <w:bCs/>
          <w:i/>
          <w:iCs/>
          <w:sz w:val="24"/>
          <w:szCs w:val="24"/>
          <w:highlight w:val="none"/>
        </w:rPr>
        <w:t xml:space="preserve">。</w:t>
      </w:r>
      <w:r>
        <w:rPr>
          <w:rFonts w:hint="eastAsia" w:ascii="宋体" w:hAnsi="宋体" w:cs="宋体"/>
          <w:b/>
          <w:bCs/>
          <w:sz w:val="24"/>
          <w:szCs w:val="24"/>
          <w:highlight w:val="none"/>
        </w:rPr>
      </w:r>
      <w:r/>
    </w:p>
    <w:p>
      <w:pPr>
        <w:pStyle w:val="939"/>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cs="宋体"/>
          <w:b/>
          <w:color w:val="000000"/>
          <w:sz w:val="24"/>
          <w:szCs w:val="24"/>
          <w:highlight w:val="none"/>
        </w:rPr>
      </w:r>
      <w:r/>
    </w:p>
    <w:p>
      <w:pPr>
        <w:pStyle w:val="939"/>
        <w:ind w:firstLine="480"/>
        <w:jc w:val="left"/>
        <w:spacing w:line="360" w:lineRule="auto"/>
        <w:rPr>
          <w:rFonts w:hint="eastAsia" w:ascii="宋体" w:hAnsi="宋体" w:cs="宋体"/>
          <w:sz w:val="24"/>
          <w:highlight w:val="none"/>
        </w:rPr>
      </w:pPr>
      <w:r>
        <w:rPr>
          <w:rFonts w:hint="eastAsia" w:ascii="宋体" w:hAnsi="宋体" w:cs="宋体"/>
          <w:sz w:val="24"/>
          <w:szCs w:val="24"/>
          <w:highlight w:val="none"/>
        </w:rPr>
        <w:t xml:space="preserve">（3）</w:t>
      </w:r>
      <w:r>
        <w:rPr>
          <w:rFonts w:hint="eastAsia" w:ascii="宋体" w:hAnsi="宋体" w:cs="宋体"/>
          <w:sz w:val="24"/>
          <w:highlight w:val="none"/>
        </w:rPr>
        <w:t xml:space="preserve">残疾人福利性单位</w:t>
      </w:r>
      <w:r>
        <w:rPr>
          <w:rFonts w:hint="eastAsia" w:ascii="宋体" w:hAnsi="宋体" w:cs="宋体"/>
          <w:sz w:val="24"/>
          <w:highlight w:val="none"/>
        </w:rPr>
      </w:r>
      <w:r/>
    </w:p>
    <w:p>
      <w:pPr>
        <w:pStyle w:val="939"/>
        <w:ind w:firstLine="480"/>
        <w:jc w:val="left"/>
        <w:spacing w:line="360" w:lineRule="auto"/>
        <w:rPr>
          <w:rFonts w:hint="eastAsia" w:ascii="宋体" w:hAnsi="宋体" w:cs="宋体"/>
          <w:b/>
          <w:bCs/>
          <w:i/>
          <w:iCs/>
          <w:sz w:val="24"/>
          <w:highlight w:val="none"/>
          <w:u w:val="single"/>
        </w:rPr>
      </w:pPr>
      <w:r>
        <w:rPr>
          <w:rFonts w:hint="eastAsia" w:ascii="宋体" w:hAnsi="宋体" w:cs="宋体"/>
          <w:sz w:val="24"/>
          <w:highlight w:val="none"/>
        </w:rPr>
        <w:t xml:space="preserve">根据《关于促进残疾人就业政府采购政策的通知》（财库〔2017〕141号）的相关规定，在政府采购活动中残疾人福利性单位视同小型、微型企业。</w:t>
      </w:r>
      <w:r>
        <w:rPr>
          <w:rFonts w:hint="eastAsia" w:ascii="宋体" w:hAnsi="宋体" w:cs="宋体"/>
          <w:b/>
          <w:bCs/>
          <w:i/>
          <w:iCs/>
          <w:sz w:val="24"/>
          <w:highlight w:val="none"/>
          <w:u w:val="single"/>
        </w:rPr>
        <w:t xml:space="preserve">符合条件的残疾人福利性单位，应提交《残疾人福利性单位声明函》，并对声明的真实性负责，未提交则视为未实质性响应采购文件。</w:t>
      </w:r>
      <w:r>
        <w:rPr>
          <w:rFonts w:hint="eastAsia" w:ascii="宋体" w:hAnsi="宋体" w:cs="宋体"/>
          <w:b/>
          <w:bCs/>
          <w:i/>
          <w:iCs/>
          <w:sz w:val="24"/>
          <w:highlight w:val="none"/>
          <w:u w:val="single"/>
        </w:rPr>
      </w:r>
      <w:r/>
    </w:p>
    <w:p>
      <w:pPr>
        <w:pStyle w:val="939"/>
        <w:ind w:firstLine="480"/>
        <w:jc w:val="left"/>
        <w:spacing w:line="360" w:lineRule="auto"/>
        <w:rPr>
          <w:rFonts w:hint="eastAsia" w:ascii="宋体" w:hAnsi="宋体" w:cs="宋体"/>
          <w:sz w:val="24"/>
          <w:highlight w:val="none"/>
        </w:rPr>
      </w:pPr>
      <w:r>
        <w:rPr>
          <w:rFonts w:hint="eastAsia" w:ascii="宋体" w:hAnsi="宋体" w:cs="宋体"/>
          <w:sz w:val="24"/>
          <w:szCs w:val="24"/>
          <w:highlight w:val="none"/>
        </w:rPr>
        <w:t xml:space="preserve">（4）</w:t>
      </w:r>
      <w:r>
        <w:rPr>
          <w:rFonts w:hint="eastAsia" w:ascii="宋体" w:hAnsi="宋体" w:cs="宋体"/>
          <w:sz w:val="24"/>
          <w:highlight w:val="none"/>
        </w:rPr>
        <w:t xml:space="preserve">监狱企业</w:t>
      </w:r>
      <w:r>
        <w:rPr>
          <w:rFonts w:hint="eastAsia" w:ascii="宋体" w:hAnsi="宋体" w:cs="宋体"/>
          <w:sz w:val="24"/>
          <w:highlight w:val="none"/>
        </w:rPr>
      </w:r>
      <w:r/>
    </w:p>
    <w:p>
      <w:pPr>
        <w:pStyle w:val="939"/>
        <w:ind w:firstLine="480"/>
        <w:jc w:val="left"/>
        <w:spacing w:line="360" w:lineRule="auto"/>
        <w:rPr>
          <w:rFonts w:hint="eastAsia" w:ascii="宋体" w:hAnsi="宋体"/>
          <w:sz w:val="24"/>
          <w:szCs w:val="24"/>
          <w:highlight w:val="none"/>
        </w:rPr>
      </w:pPr>
      <w:r>
        <w:rPr>
          <w:rFonts w:hint="eastAsia" w:ascii="宋体" w:hAnsi="宋体" w:cs="宋体"/>
          <w:sz w:val="24"/>
          <w:highlight w:val="none"/>
        </w:rPr>
        <w:t xml:space="preserve">根据《关于政府采购支持监狱企业发展有关问题的通知》（财库〔2014〕68号）的相关规定在政府采购活动中，监狱企业视同小型、微型企业。</w:t>
      </w:r>
      <w:r>
        <w:rPr>
          <w:rFonts w:hint="eastAsia" w:ascii="宋体" w:hAnsi="宋体" w:cs="宋体"/>
          <w:b/>
          <w:bCs/>
          <w:i/>
          <w:iCs/>
          <w:sz w:val="24"/>
          <w:highlight w:val="none"/>
          <w:u w:val="single"/>
        </w:rPr>
        <w:t xml:space="preserve">监狱企业应当提供由省级以上监狱管理局、戒毒管理局（含新疆生产建设兵团）出具的属于监狱企业的证明文件，未提交则视为未实质性响应采购文件。</w:t>
      </w:r>
      <w:r>
        <w:rPr>
          <w:rFonts w:hint="eastAsia" w:ascii="宋体" w:hAnsi="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9.2信用记录</w:t>
      </w:r>
      <w:r>
        <w:rPr>
          <w:rFonts w:hint="eastAsia" w:ascii="宋体" w:hAnsi="宋体" w:cs="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根据政府采购法及相关法规，以及</w:t>
      </w:r>
      <w:r>
        <w:rPr>
          <w:rFonts w:hint="eastAsia" w:ascii="宋体" w:hAnsi="宋体"/>
          <w:bCs/>
          <w:sz w:val="24"/>
          <w:szCs w:val="24"/>
          <w:highlight w:val="none"/>
        </w:rPr>
        <w:t xml:space="preserve">苏州市财政局《</w:t>
      </w:r>
      <w:r>
        <w:rPr>
          <w:rFonts w:hint="eastAsia" w:ascii="宋体" w:hAnsi="宋体"/>
          <w:bCs/>
          <w:sz w:val="24"/>
          <w:szCs w:val="24"/>
          <w:highlight w:val="none"/>
          <w:lang w:bidi="ar"/>
        </w:rPr>
        <w:t xml:space="preserve">关于苏州市政府采购网下线“供应商信用查询”功能的通知</w:t>
      </w:r>
      <w:r>
        <w:rPr>
          <w:rFonts w:hint="eastAsia" w:ascii="宋体" w:hAnsi="宋体"/>
          <w:bCs/>
          <w:sz w:val="24"/>
          <w:szCs w:val="24"/>
          <w:highlight w:val="none"/>
        </w:rPr>
        <w:t xml:space="preserve">》</w:t>
      </w:r>
      <w:r>
        <w:rPr>
          <w:rFonts w:hint="eastAsia" w:ascii="宋体" w:hAnsi="宋体"/>
          <w:sz w:val="24"/>
          <w:szCs w:val="24"/>
          <w:highlight w:val="none"/>
        </w:rPr>
        <w:t xml:space="preserve">的规定，我们将依法对供应商进行信用查询，凡经评审小组确认不符合政府采购相关法律法规规定的，将拒绝其参与政府采购活动。</w:t>
      </w:r>
      <w:r>
        <w:rPr>
          <w:rFonts w:ascii="宋体" w:hAnsi="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（1）查询截止时点：投标文件递交截止时间。</w:t>
      </w:r>
      <w:r>
        <w:rPr>
          <w:rFonts w:ascii="宋体" w:hAnsi="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（2）查询渠道：</w:t>
      </w:r>
      <w:r>
        <w:rPr>
          <w:rFonts w:ascii="宋体" w:hAnsi="宋体"/>
          <w:sz w:val="24"/>
          <w:szCs w:val="24"/>
          <w:highlight w:val="none"/>
        </w:rPr>
      </w:r>
      <w:r/>
    </w:p>
    <w:p>
      <w:pPr>
        <w:pStyle w:val="939"/>
        <w:ind w:firstLine="480"/>
        <w:jc w:val="left"/>
        <w:spacing w:line="360" w:lineRule="auto"/>
        <w:widowControl/>
        <w:rPr>
          <w:rFonts w:ascii="宋体" w:hAnsi="宋体"/>
          <w:sz w:val="24"/>
          <w:szCs w:val="24"/>
          <w:highlight w:val="none"/>
        </w:rPr>
      </w:pPr>
      <w:r>
        <w:rPr>
          <w:rFonts w:hint="eastAsia" w:ascii="宋体" w:hAnsi="宋体"/>
          <w:sz w:val="24"/>
          <w:szCs w:val="24"/>
          <w:highlight w:val="none"/>
          <w:lang w:bidi="ar"/>
        </w:rPr>
        <w:t xml:space="preserve">将通过苏州市公共资源交易中心 “交易管理平台”实现,一是:信用苏州涉及政府采购数据无缝对接并嵌入到 “交易管理平台”,在评标过程中,在线实时获取并生成各投标供应商的信用情况,对于失信投标供应商将展现‘其处罚行为信息,采购人(代理机构)、评审专家等即可根据获取信息进行评审;二是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rPr>
          <w:rFonts w:ascii="宋体" w:hAnsi="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（3）查询证据留存方式：</w:t>
      </w:r>
      <w:r>
        <w:rPr>
          <w:rFonts w:ascii="宋体" w:hAnsi="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sz w:val="24"/>
          <w:szCs w:val="24"/>
          <w:highlight w:val="none"/>
        </w:rPr>
      </w:r>
      <w:r/>
    </w:p>
    <w:p>
      <w:pPr>
        <w:pStyle w:val="93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（4）信用记录使用规则：</w:t>
      </w:r>
      <w:r>
        <w:rPr>
          <w:rFonts w:ascii="宋体" w:hAnsi="宋体"/>
          <w:sz w:val="24"/>
          <w:szCs w:val="24"/>
          <w:highlight w:val="none"/>
        </w:rPr>
      </w:r>
      <w:r/>
    </w:p>
    <w:p>
      <w:pPr>
        <w:pStyle w:val="939"/>
        <w:ind w:firstLine="549"/>
        <w:spacing w:line="360" w:lineRule="auto"/>
        <w:rPr>
          <w:rFonts w:hint="eastAsia" w:ascii="宋体" w:hAnsi="宋体"/>
          <w:sz w:val="24"/>
          <w:szCs w:val="24"/>
          <w:highlight w:val="none"/>
        </w:rPr>
      </w:pPr>
      <w:r>
        <w:rPr>
          <w:rFonts w:hint="eastAsia" w:ascii="宋体" w:hAnsi="宋体"/>
          <w:sz w:val="24"/>
          <w:szCs w:val="24"/>
          <w:highlight w:val="none"/>
        </w:rPr>
        <w:t xml:space="preserve">评审小组在对供应商进行资格性审查时，应根据查询结果对供应商的不良信用记录逐项甄别确认。</w:t>
      </w:r>
      <w:r>
        <w:rPr>
          <w:rFonts w:hint="eastAsia" w:ascii="宋体" w:hAnsi="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9.3、采购文件的质疑、澄清</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9.3.2本次采购文件要求供应商在法定质疑期内一次性提出针对同一采购程序环节的质疑。</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9.3.4供应商提出质疑应当提交质疑函、报名确认单和必要的证明材料。质疑函应当包括下列内容：</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9.3.5供应商的姓名或者名称、地址、邮编、联系人及联系电话；</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9.3.6质疑项目的名称、编号；</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9.3.7具体、明确的质疑事项和与质疑事项相关的请求；</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9.3.8事实依据；</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9.3.9必要的法律依据；</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9.3.10提出质疑的日期。</w:t>
      </w:r>
      <w:r>
        <w:rPr>
          <w:rFonts w:hint="eastAsia" w:ascii="宋体" w:hAnsi="宋体" w:cs="宋体"/>
          <w:sz w:val="24"/>
          <w:szCs w:val="24"/>
          <w:highlight w:val="none"/>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sz w:val="24"/>
          <w:szCs w:val="24"/>
          <w:highlight w:val="none"/>
        </w:rPr>
      </w:r>
      <w:r/>
    </w:p>
    <w:p>
      <w:pPr>
        <w:pStyle w:val="97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9.3.11质疑联系方式详见采购公告。</w:t>
      </w:r>
      <w:r>
        <w:rPr>
          <w:rFonts w:hint="eastAsia" w:ascii="宋体" w:hAnsi="宋体" w:cs="宋体"/>
          <w:sz w:val="24"/>
          <w:szCs w:val="24"/>
          <w:highlight w:val="none"/>
        </w:rPr>
      </w:r>
      <w:r/>
    </w:p>
    <w:p>
      <w:pPr>
        <w:pStyle w:val="939"/>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六、磋商程序：</w:t>
      </w:r>
      <w:r>
        <w:rPr>
          <w:rFonts w:hint="eastAsia" w:ascii="宋体" w:hAnsi="宋体" w:cs="宋体"/>
          <w:b/>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采购代理机构按本须知规定的时间、地点主持磋商采购活动。</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供应商法定代表人或授权代理人应携带</w:t>
      </w:r>
      <w:r>
        <w:rPr>
          <w:rFonts w:hint="eastAsia" w:ascii="宋体" w:hAnsi="宋体" w:cs="宋体"/>
          <w:b/>
          <w:bCs/>
          <w:sz w:val="24"/>
          <w:szCs w:val="24"/>
          <w:highlight w:val="none"/>
        </w:rPr>
        <w:t xml:space="preserve">本人身份证明、CA证书</w:t>
      </w:r>
      <w:r>
        <w:rPr>
          <w:rFonts w:hint="eastAsia" w:ascii="宋体" w:hAnsi="宋体" w:cs="宋体"/>
          <w:sz w:val="24"/>
          <w:szCs w:val="24"/>
          <w:highlight w:val="none"/>
        </w:rPr>
        <w:t xml:space="preserve">签名报到。</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在磋商文件递交截止时间前，供应商凭</w:t>
      </w:r>
      <w:r>
        <w:rPr>
          <w:rFonts w:hint="eastAsia" w:ascii="宋体" w:hAnsi="宋体" w:cs="宋体"/>
          <w:b/>
          <w:bCs/>
          <w:sz w:val="24"/>
          <w:szCs w:val="24"/>
          <w:highlight w:val="none"/>
        </w:rPr>
        <w:t xml:space="preserve">身份证明原件</w:t>
      </w:r>
      <w:r>
        <w:rPr>
          <w:rFonts w:hint="eastAsia" w:ascii="宋体" w:hAnsi="宋体" w:cs="宋体"/>
          <w:sz w:val="24"/>
          <w:szCs w:val="24"/>
          <w:highlight w:val="none"/>
        </w:rPr>
        <w:t xml:space="preserve">进入文件递交室进行解密，未能出示身份证明原件的供应商，采购代理机构有权拒绝接受其响应文件。</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由磋商小组审查供应商提交的响应文件。</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磋商小组要求供应商澄清、说明或者更正响应文件应当以书面形式作出。供应商的澄清、说明或者更正应当由法定代表人或其授权代表签字或者加盖公章。</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磋商小组所有成员集中与单一供应商分别进行磋商，并给予所有参加磋商的供应商平等的磋商机会。</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rPr>
          <w:rFonts w:hint="eastAsia" w:ascii="宋体" w:hAnsi="宋体" w:cs="宋体"/>
          <w:sz w:val="24"/>
          <w:szCs w:val="24"/>
          <w:highlight w:val="none"/>
        </w:rPr>
      </w:r>
      <w:r/>
    </w:p>
    <w:p>
      <w:pPr>
        <w:pStyle w:val="939"/>
        <w:numPr>
          <w:ilvl w:val="0"/>
          <w:numId w:val="5"/>
        </w:numPr>
        <w:ind w:left="0" w:firstLine="48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供应商应当按照磋商文件的变动情况和磋商小组的要求重新提交响应文件，并由其法定代表人或授权代表签字或者加盖公章。</w:t>
      </w:r>
      <w:r>
        <w:rPr>
          <w:rFonts w:hint="eastAsia" w:ascii="宋体" w:hAnsi="宋体" w:cs="宋体"/>
          <w:sz w:val="24"/>
          <w:szCs w:val="24"/>
          <w:highlight w:val="none"/>
        </w:rPr>
      </w:r>
      <w:r/>
    </w:p>
    <w:p>
      <w:pPr>
        <w:pStyle w:val="939"/>
        <w:ind w:firstLine="480"/>
        <w:jc w:val="left"/>
        <w:spacing w:line="360" w:lineRule="auto"/>
        <w:tabs>
          <w:tab w:val="left" w:pos="420" w:leader="none"/>
        </w:tabs>
        <w:rPr>
          <w:highlight w:val="none"/>
        </w:rPr>
      </w:pPr>
      <w:r>
        <w:rPr>
          <w:rFonts w:hint="eastAsia" w:ascii="宋体" w:hAnsi="宋体" w:cs="宋体"/>
          <w:sz w:val="24"/>
          <w:szCs w:val="24"/>
          <w:highlight w:val="none"/>
        </w:rPr>
        <w:t xml:space="preserve">10.</w:t>
      </w:r>
      <w:r>
        <w:rPr>
          <w:rFonts w:hint="eastAsia" w:ascii="宋体" w:hAnsi="宋体"/>
          <w:sz w:val="24"/>
          <w:szCs w:val="24"/>
          <w:highlight w:val="none"/>
        </w:rPr>
        <w:t xml:space="preserve">供应商签到的顺序决定磋商顺序，并按顺序分别进行磋商。</w:t>
      </w:r>
      <w:r>
        <w:rPr>
          <w:highlight w:val="none"/>
        </w:rPr>
      </w:r>
      <w:r/>
    </w:p>
    <w:p>
      <w:pPr>
        <w:pStyle w:val="939"/>
        <w:ind w:left="42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11.磋商结束后，磋商小组将要求所有实质性响应的供应商在最后一个供应商磋商结束后十五分钟内提交最后报价，提交最后报价的供应商不得少于3家。</w:t>
      </w:r>
      <w:r>
        <w:rPr>
          <w:rFonts w:hint="eastAsia" w:ascii="宋体" w:hAnsi="宋体" w:cs="宋体"/>
          <w:sz w:val="24"/>
          <w:szCs w:val="24"/>
          <w:highlight w:val="none"/>
        </w:rPr>
      </w:r>
      <w:r/>
    </w:p>
    <w:p>
      <w:pPr>
        <w:pStyle w:val="939"/>
        <w:ind w:left="42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12.经磋商确定最终采购需求和提交最后报价的供应商后，由磋商小组采用综合评分法对提交最后报价的供应商的响应文件和最后报价进行综合评分。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highlight w:val="none"/>
        </w:rPr>
      </w:r>
      <w:r/>
    </w:p>
    <w:p>
      <w:pPr>
        <w:pStyle w:val="939"/>
        <w:ind w:left="42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13.磋商小组根据磋商成交原则确定成交供应商，并将结果通知所有参加磋商的供应商。</w:t>
      </w:r>
      <w:r>
        <w:rPr>
          <w:rFonts w:hint="eastAsia" w:ascii="宋体" w:hAnsi="宋体" w:cs="宋体"/>
          <w:sz w:val="24"/>
          <w:szCs w:val="24"/>
          <w:highlight w:val="none"/>
        </w:rPr>
      </w:r>
      <w:r/>
    </w:p>
    <w:p>
      <w:pPr>
        <w:pStyle w:val="939"/>
        <w:ind w:left="420"/>
        <w:jc w:val="left"/>
        <w:spacing w:line="360" w:lineRule="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14.如磋商过程中出现本采购文件未尽事宜，由磋商小组根据政府采购有关法律、法规讨论决定。</w:t>
      </w:r>
      <w:r>
        <w:rPr>
          <w:rFonts w:hint="eastAsia" w:ascii="宋体" w:hAnsi="宋体" w:cs="宋体"/>
          <w:sz w:val="24"/>
          <w:szCs w:val="24"/>
          <w:highlight w:val="none"/>
        </w:rPr>
      </w:r>
      <w:r/>
    </w:p>
    <w:p>
      <w:pPr>
        <w:pStyle w:val="939"/>
        <w:ind w:left="420"/>
        <w:jc w:val="center"/>
        <w:rPr>
          <w:rFonts w:hint="eastAsia" w:ascii="宋体" w:hAnsi="宋体" w:cs="宋体"/>
          <w:b/>
          <w:sz w:val="32"/>
          <w:highlight w:val="none"/>
        </w:rPr>
      </w:pPr>
      <w:r>
        <w:rPr>
          <w:rFonts w:hint="eastAsia" w:ascii="宋体" w:hAnsi="宋体" w:cs="宋体"/>
          <w:b/>
          <w:sz w:val="32"/>
          <w:highlight w:val="none"/>
        </w:rPr>
      </w:r>
      <w:r/>
    </w:p>
    <w:p>
      <w:pPr>
        <w:pStyle w:val="943"/>
        <w:rPr>
          <w:rFonts w:hint="eastAsia" w:ascii="宋体" w:hAnsi="宋体" w:cs="宋体"/>
          <w:b w:val="0"/>
          <w:sz w:val="32"/>
          <w:highlight w:val="none"/>
        </w:rPr>
      </w:pPr>
      <w:r>
        <w:rPr>
          <w:rFonts w:hint="eastAsia" w:ascii="宋体" w:hAnsi="宋体" w:cs="宋体"/>
          <w:b w:val="0"/>
          <w:sz w:val="32"/>
          <w:highlight w:val="none"/>
        </w:rPr>
      </w:r>
      <w:r/>
    </w:p>
    <w:p>
      <w:pPr>
        <w:pStyle w:val="939"/>
        <w:rPr>
          <w:rFonts w:hint="eastAsia" w:ascii="宋体" w:hAnsi="宋体" w:cs="宋体"/>
          <w:b/>
          <w:sz w:val="32"/>
          <w:highlight w:val="none"/>
        </w:rPr>
      </w:pPr>
      <w:r>
        <w:rPr>
          <w:rFonts w:hint="eastAsia" w:ascii="宋体" w:hAnsi="宋体" w:cs="宋体"/>
          <w:b/>
          <w:sz w:val="32"/>
          <w:highlight w:val="none"/>
        </w:rPr>
      </w:r>
      <w:r/>
    </w:p>
    <w:p>
      <w:pPr>
        <w:pStyle w:val="943"/>
        <w:rPr>
          <w:rFonts w:hint="eastAsia" w:ascii="宋体" w:hAnsi="宋体" w:cs="宋体"/>
          <w:b w:val="0"/>
          <w:sz w:val="32"/>
          <w:highlight w:val="none"/>
        </w:rPr>
      </w:pPr>
      <w:r>
        <w:rPr>
          <w:rFonts w:hint="eastAsia" w:ascii="宋体" w:hAnsi="宋体" w:cs="宋体"/>
          <w:b w:val="0"/>
          <w:sz w:val="32"/>
          <w:highlight w:val="none"/>
        </w:rPr>
      </w:r>
      <w:r/>
    </w:p>
    <w:p>
      <w:pPr>
        <w:pStyle w:val="939"/>
        <w:rPr>
          <w:rFonts w:hint="eastAsia" w:ascii="宋体" w:hAnsi="宋体" w:cs="宋体"/>
          <w:b/>
          <w:sz w:val="32"/>
          <w:highlight w:val="none"/>
        </w:rPr>
      </w:pPr>
      <w:r>
        <w:rPr>
          <w:rFonts w:hint="eastAsia" w:ascii="宋体" w:hAnsi="宋体" w:cs="宋体"/>
          <w:b/>
          <w:sz w:val="32"/>
          <w:highlight w:val="none"/>
        </w:rPr>
      </w:r>
      <w:r/>
    </w:p>
    <w:p>
      <w:pPr>
        <w:pStyle w:val="943"/>
        <w:rPr>
          <w:rFonts w:hint="eastAsia" w:ascii="宋体" w:hAnsi="宋体" w:cs="宋体"/>
          <w:b w:val="0"/>
          <w:sz w:val="32"/>
          <w:highlight w:val="none"/>
        </w:rPr>
      </w:pPr>
      <w:r>
        <w:rPr>
          <w:rFonts w:hint="eastAsia" w:ascii="宋体" w:hAnsi="宋体" w:cs="宋体"/>
          <w:b w:val="0"/>
          <w:sz w:val="32"/>
          <w:highlight w:val="none"/>
        </w:rPr>
      </w:r>
      <w:r/>
    </w:p>
    <w:p>
      <w:pPr>
        <w:pStyle w:val="939"/>
        <w:ind w:left="420"/>
        <w:jc w:val="center"/>
        <w:rPr>
          <w:rFonts w:hint="eastAsia" w:ascii="宋体" w:hAnsi="宋体" w:cs="宋体"/>
          <w:b/>
          <w:sz w:val="32"/>
          <w:highlight w:val="none"/>
        </w:rPr>
        <w:sectPr>
          <w:headerReference w:type="default" r:id="rId9"/>
          <w:footerReference w:type="default" r:id="rId10"/>
          <w:footerReference w:type="first" r:id="rId11"/>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
          <w:sz w:val="32"/>
          <w:highlight w:val="none"/>
        </w:rPr>
      </w:r>
      <w:r/>
    </w:p>
    <w:p>
      <w:pPr>
        <w:pStyle w:val="939"/>
        <w:ind w:left="420"/>
        <w:jc w:val="center"/>
        <w:rPr>
          <w:rFonts w:hint="eastAsia" w:ascii="宋体" w:hAnsi="宋体" w:cs="宋体"/>
          <w:b/>
          <w:sz w:val="32"/>
          <w:highlight w:val="none"/>
        </w:rPr>
      </w:pPr>
      <w:r>
        <w:rPr>
          <w:rFonts w:hint="eastAsia" w:ascii="宋体" w:hAnsi="宋体" w:cs="宋体"/>
          <w:b/>
          <w:sz w:val="32"/>
          <w:highlight w:val="none"/>
        </w:rPr>
        <w:t xml:space="preserve">三、磋商成交原则及评分标准</w:t>
      </w:r>
      <w:r>
        <w:rPr>
          <w:rFonts w:hint="eastAsia" w:ascii="宋体" w:hAnsi="宋体" w:cs="宋体"/>
          <w:b/>
          <w:sz w:val="32"/>
          <w:highlight w:val="none"/>
        </w:rPr>
      </w:r>
      <w:r/>
    </w:p>
    <w:p>
      <w:pPr>
        <w:pStyle w:val="1042"/>
        <w:ind w:firstLine="482"/>
        <w:tabs>
          <w:tab w:val="left" w:pos="808" w:leader="none"/>
        </w:tabs>
        <w:rPr>
          <w:rFonts w:hint="eastAsia" w:ascii="宋体" w:hAnsi="宋体" w:cs="宋体"/>
          <w:b/>
          <w:sz w:val="24"/>
          <w:szCs w:val="24"/>
          <w:highlight w:val="none"/>
        </w:rPr>
      </w:pPr>
      <w:r>
        <w:rPr>
          <w:rFonts w:hint="eastAsia" w:ascii="宋体" w:hAnsi="宋体" w:cs="宋体"/>
          <w:b/>
          <w:sz w:val="24"/>
          <w:szCs w:val="24"/>
          <w:highlight w:val="none"/>
        </w:rPr>
        <w:t xml:space="preserve">（一标段、二标段均适用，供应商可以根据情况选择其中一个或全部标段进行投标，本项目开标、评标及中标顺序：一标段→二标段，本项目响应供应商只可中一个标段，若已中第一标段，则不得再作为第二标段成交人；）</w:t>
      </w:r>
      <w:r>
        <w:rPr>
          <w:rFonts w:hint="eastAsia" w:ascii="宋体" w:hAnsi="宋体" w:cs="宋体"/>
          <w:b/>
          <w:sz w:val="24"/>
          <w:szCs w:val="24"/>
          <w:highlight w:val="none"/>
        </w:rPr>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1、本次磋商采用综合评分法，即在响应文件满足采购文件全部实质性要求且按评审因素的量化指标评审得分最高的供应商为对应标段的成交候选供应商。采购人书面授权磋商小组直接确定成交供应商。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4、如出现评审总得分最高的磋商供应商有两个或两个以上的，以磋商报价较低者优先作为成交候选人，如果磋商报价也相同的，则由采购人组织以抽签方式确定成交候选人。</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1、磋商报价在采购预算（含每标段预算）价格以内的，为有效磋商报价。超采购预算（含每标段预算）的磋商报价为无效响应报价。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2、将所有有效报价与磋商基准价相比较：等于磋商基准价的得10分，其他响应供应商的价格分按照下列公式计算（计算结果四舍五入保留两位小数）：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磋商报价得分＝（磋商基准价/最后磋商报价）×10%×100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其中，以满足磋商文件要求且最后报价最低的供应商的价格为磋商基准价。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（二）技术服务方案（最高为36分）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理解（10分）：对项目背景、服务需求的理解与分析，工作目标定位与实施思路等内容,要求逻辑清晰、表达清楚。对项目背景、服务需求理解透彻，工作目标定位准确、实施思路清晰，得10分；对项目背景、服务需求理解较透彻，工作目标定位准确、实施思路较清晰，得6分；对项目背景、服务需求理解一般，工作目标定位基本准确、实施思路一般，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2．监测实施方案（10分）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供应商为本项目编制的水质监测服务实施方案进行评分：编制内容全面、重点要点突出、符合标段范围实际的得10分；编制内容比较全面、重点要点较突出、比较符合标段范围实际的得6分；编制内容基本全面、基本符合标段范围实际的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3．服务质量保障方案（6分）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提供本项目及日常检测中服务质量保障方案，内容应包括：组织措施、工作任务分解、质量控制措施等。根据工作方案内容全面性、详细程度，各组成方案的科学性、合理性、实用性、可行性综合比较评分，项目实施管理方案内容全面、详细，各组成方案科学、合理、切实可行的得6分；项目实施管理方案内容较全面、简略，各组成方案科学、合理、可行的得2分；项目实施管理方案内容存在缺失、粗略，各组成方案合理、实用性差、可行性差的得1分；其他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4．监测服务响应时间及保障措施（5分）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供应商提出的监测服务响应时间及保障措施进行评分：监测要求响应时间短、保障措施完善、合理、切实可行的得5分；监测服务响应时间较短、保障措施完善、合理、可行的得2分；监测服务响应时间较短、保障措施不完善、合理性差、可行性差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5．突发事件应急预案（5分）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供应商为本项目编制的水质突发事件应急预案，保障突发事件有序、快速解决。应急预案全面详细、合理、针对性强的得5分；应急预案全面简略、合理、有针对性的得3分；应急预案粗略不全面、合理性差、针对性差的得1分；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（三）拟投入的项目组人员（9分）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1.拟派项目负责人：4分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1.1项目负责人具有给排水工程或环境工程或化学工程等与本项目相关专业的高级工程师（或以上）技术职称的，得2分；具有给排水工程或环境工程或化学工程等与本项目相关专业的中级工程师职称的得1分。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1.2项目负责人具有硕士及以上学历的得2分。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注：响应文件内提供供应商近期为项目负责人缴纳的社保证明扫描件、职称证书扫描件、毕业证书扫描件。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2.项目组人员配置：5分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拟投入本项目的人员（项目负责人除外）具有高级及以上职称的，每1人得1分，具有中级职称的，每1人得0.5分，最高得5分；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注：响应文件内提供供应商近期为项目组人员缴纳的社保证明扫描件、职称证书扫描件。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（四）样品考核（20分）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准物质考核情况，各响应供应商需接受两组盲样考核，检测结果以检测报告形式出具，考核样全部合格的得20分，有一个考核样不及格，样品考核全部不得分。（响应文件中提供检测报告扫描件，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（五）供应商综合实力（25分）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1.实验室场地：2分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响应供应商拥有独立的实验室，实验室面积满足2500平米得2分；满足2000平米得1分；实验室面积低于2000平米不得分。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注：响应文件内提供房产证明或租房协议扫描件。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2.检测能力：6分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通过质量技术监督局实验室资质认定的GB3838-2002《地表水环境质量》表一、表二、表三109项全部能力的得3分；具备GB5749-2022《生活饮用水卫生标准》表一、表二、表三97项全部能力的得3分，本项最高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注：响应文件内提供资质认定证书附表或省市场监督管理局网站能力查询截图。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3.响应供应商自2022年1月1日以来参加的各类能力验证、全国质控，每个合格项目得0.2分，最高2分。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注：响应文件内提供能力验证或全国质控结果通知书扫描件，未提供不得分。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4.响应供应商具有三体系认证（职业健康、环境管理、质量管理）有一个得1分，最高得3分。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注：响应文件内提供全国认证认可信息公共服务平台查询截图及证书扫描件，未提供或提供不全的不得分。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5.响应供应商自2022年1月1日（以合同签订时间为准）至今承担过水源水或饮用水检测项目业绩的：有一个得1分，最高6分。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注：响应文件内提供合同扫描件，需体现合同签订时间，否则不得分。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6.响应供应商提供其2024年出具的关于出厂水97项和水源水109项报告各1份，每份得2分，本项最高得分4分。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7.响应供应商具有国家实验室认可CNAS或为省级及以上城市供水水质监测网成员单位的，得2分。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注：响应文件中提供相应证明材料。</w:t>
      </w:r>
      <w:r/>
    </w:p>
    <w:p>
      <w:pPr>
        <w:pStyle w:val="939"/>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pStyle w:val="956"/>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22"/>
        <w:jc w:val="left"/>
        <w:spacing w:line="360" w:lineRule="auto"/>
        <w:rPr>
          <w:rFonts w:ascii="宋体" w:hAnsi="宋体"/>
          <w:b/>
          <w:szCs w:val="21"/>
          <w:highlight w:val="none"/>
        </w:rPr>
      </w:pPr>
      <w:r>
        <w:rPr>
          <w:rFonts w:hint="eastAsia" w:ascii="宋体" w:hAnsi="宋体"/>
          <w:b/>
          <w:szCs w:val="21"/>
          <w:highlight w:val="none"/>
        </w:rPr>
        <w:t xml:space="preserve">注：</w:t>
      </w:r>
      <w:r>
        <w:rPr>
          <w:rFonts w:ascii="宋体" w:hAnsi="宋体"/>
          <w:b/>
          <w:szCs w:val="21"/>
          <w:highlight w:val="none"/>
        </w:rPr>
      </w:r>
      <w:r/>
    </w:p>
    <w:p>
      <w:pPr>
        <w:pStyle w:val="939"/>
        <w:ind w:firstLine="422"/>
        <w:jc w:val="left"/>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t xml:space="preserve">.以上评分标准中评分的每一条，各</w:t>
      </w:r>
      <w:r>
        <w:rPr>
          <w:rFonts w:hint="eastAsia" w:ascii="宋体" w:hAnsi="宋体"/>
          <w:b/>
          <w:szCs w:val="21"/>
          <w:highlight w:val="none"/>
        </w:rPr>
        <w:t xml:space="preserve">响应</w:t>
      </w:r>
      <w:r>
        <w:rPr>
          <w:rFonts w:ascii="宋体" w:hAnsi="宋体"/>
          <w:b/>
          <w:szCs w:val="21"/>
          <w:highlight w:val="none"/>
        </w:rPr>
        <w:t xml:space="preserve">单位均应提供相关的资料并作出相应的对比供评分评判。</w:t>
      </w:r>
      <w:r>
        <w:rPr>
          <w:rFonts w:ascii="宋体" w:hAnsi="宋体"/>
          <w:b/>
          <w:szCs w:val="21"/>
          <w:highlight w:val="none"/>
        </w:rPr>
      </w:r>
      <w:r/>
    </w:p>
    <w:p>
      <w:pPr>
        <w:pStyle w:val="939"/>
        <w:ind w:firstLine="422"/>
        <w:jc w:val="left"/>
        <w:spacing w:line="360"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响应</w:t>
      </w:r>
      <w:r>
        <w:rPr>
          <w:rFonts w:ascii="宋体" w:hAnsi="宋体"/>
          <w:b/>
          <w:szCs w:val="21"/>
          <w:highlight w:val="none"/>
        </w:rPr>
        <w:t xml:space="preserve">报价超过财政审批预算金额（含每标段预算）的，为无效标。</w:t>
      </w:r>
      <w:r>
        <w:rPr>
          <w:rFonts w:ascii="宋体" w:hAnsi="宋体"/>
          <w:b/>
          <w:szCs w:val="21"/>
          <w:highlight w:val="none"/>
        </w:rPr>
      </w:r>
      <w:r/>
    </w:p>
    <w:p>
      <w:pPr>
        <w:pStyle w:val="939"/>
        <w:ind w:firstLine="422"/>
        <w:jc w:val="left"/>
        <w:spacing w:line="360" w:lineRule="auto"/>
        <w:rPr>
          <w:rFonts w:ascii="宋体" w:hAnsi="宋体"/>
          <w:b/>
          <w:szCs w:val="21"/>
          <w:highlight w:val="none"/>
        </w:rPr>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响应</w:t>
      </w:r>
      <w:r>
        <w:rPr>
          <w:rFonts w:ascii="宋体" w:hAnsi="宋体"/>
          <w:b/>
          <w:szCs w:val="21"/>
          <w:highlight w:val="none"/>
        </w:rPr>
        <w:t xml:space="preserve">文件中如出现前后不一致时,评委有权请投标人澄清说明,澄清说明事项涉及评分时,评委有权酌情扣分。</w:t>
      </w:r>
      <w:r>
        <w:rPr>
          <w:rFonts w:ascii="宋体" w:hAnsi="宋体"/>
          <w:b/>
          <w:szCs w:val="21"/>
          <w:highlight w:val="none"/>
        </w:rPr>
      </w:r>
      <w:r/>
    </w:p>
    <w:p>
      <w:pPr>
        <w:pStyle w:val="939"/>
        <w:ind w:firstLine="422"/>
        <w:jc w:val="left"/>
        <w:spacing w:line="360" w:lineRule="auto"/>
        <w:rPr>
          <w:rFonts w:hint="eastAsia" w:ascii="宋体" w:hAnsi="宋体" w:cs="宋体"/>
          <w:b/>
          <w:bCs/>
          <w:sz w:val="24"/>
          <w:szCs w:val="24"/>
          <w:highlight w:val="none"/>
        </w:rPr>
      </w:pPr>
      <w:r>
        <w:rPr>
          <w:rFonts w:hint="eastAsia" w:ascii="宋体" w:hAnsi="宋体"/>
          <w:b/>
          <w:szCs w:val="21"/>
          <w:highlight w:val="none"/>
        </w:rPr>
        <w:t xml:space="preserve">4</w:t>
      </w:r>
      <w:r>
        <w:rPr>
          <w:rFonts w:ascii="宋体" w:hAnsi="宋体"/>
          <w:b/>
          <w:szCs w:val="21"/>
          <w:highlight w:val="none"/>
        </w:rPr>
        <w:t xml:space="preserve">、付款方式及</w:t>
      </w:r>
      <w:r>
        <w:rPr>
          <w:rFonts w:hint="eastAsia" w:ascii="宋体" w:hAnsi="宋体"/>
          <w:b/>
          <w:szCs w:val="21"/>
          <w:highlight w:val="none"/>
        </w:rPr>
        <w:t xml:space="preserve">服务</w:t>
      </w:r>
      <w:r>
        <w:rPr>
          <w:rFonts w:ascii="宋体" w:hAnsi="宋体"/>
          <w:b/>
          <w:szCs w:val="21"/>
          <w:highlight w:val="none"/>
        </w:rPr>
        <w:t xml:space="preserve">期不响应</w:t>
      </w:r>
      <w:r>
        <w:rPr>
          <w:rFonts w:hint="eastAsia" w:ascii="宋体" w:hAnsi="宋体"/>
          <w:b/>
          <w:szCs w:val="21"/>
          <w:highlight w:val="none"/>
        </w:rPr>
        <w:t xml:space="preserve">磋商</w:t>
      </w:r>
      <w:r>
        <w:rPr>
          <w:rFonts w:ascii="宋体" w:hAnsi="宋体"/>
          <w:b/>
          <w:szCs w:val="21"/>
          <w:highlight w:val="none"/>
        </w:rPr>
        <w:t xml:space="preserve">文件要求的</w:t>
      </w:r>
      <w:r>
        <w:rPr>
          <w:rFonts w:hint="eastAsia" w:ascii="宋体" w:hAnsi="宋体"/>
          <w:b/>
          <w:szCs w:val="21"/>
          <w:highlight w:val="none"/>
        </w:rPr>
        <w:t xml:space="preserve">做无效标处理</w:t>
      </w:r>
      <w:r>
        <w:rPr>
          <w:rFonts w:ascii="宋体" w:hAnsi="宋体"/>
          <w:b/>
          <w:szCs w:val="21"/>
          <w:highlight w:val="none"/>
        </w:rPr>
        <w:t xml:space="preserve">。</w:t>
      </w:r>
      <w:r>
        <w:rPr>
          <w:rFonts w:hint="eastAsia" w:ascii="宋体" w:hAnsi="宋体" w:cs="宋体"/>
          <w:b/>
          <w:bCs/>
          <w:sz w:val="24"/>
          <w:szCs w:val="24"/>
          <w:highlight w:val="none"/>
        </w:rPr>
      </w:r>
      <w:r/>
    </w:p>
    <w:p>
      <w:pPr>
        <w:pStyle w:val="939"/>
        <w:ind w:left="643"/>
        <w:jc w:val="center"/>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t xml:space="preserve">四、合同主要条款</w:t>
      </w:r>
      <w:r>
        <w:rPr>
          <w:rFonts w:hint="eastAsia" w:ascii="宋体" w:hAnsi="宋体" w:cs="宋体"/>
          <w:b/>
          <w:sz w:val="32"/>
          <w:highlight w:val="none"/>
        </w:rPr>
      </w:r>
      <w:r/>
    </w:p>
    <w:p>
      <w:pPr>
        <w:pStyle w:val="939"/>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政府采购合同</w:t>
      </w:r>
      <w:r>
        <w:rPr>
          <w:rFonts w:ascii="宋体" w:hAnsi="宋体" w:cs="宋体"/>
          <w:b/>
          <w:bCs/>
          <w:sz w:val="28"/>
          <w:szCs w:val="28"/>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合同编号： </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项目名称：水资源及供水水质监测</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p>
      <w:pPr>
        <w:pStyle w:val="95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p>
      <w:pPr>
        <w:pStyle w:val="956"/>
        <w:spacing w:line="360" w:lineRule="auto"/>
        <w:rPr>
          <w:rFonts w:hint="eastAsia" w:ascii="宋体" w:hAnsi="宋体" w:cs="宋体"/>
          <w:highlight w:val="none"/>
        </w:rPr>
      </w:pPr>
      <w:r>
        <w:rPr>
          <w:rFonts w:hint="eastAsia" w:ascii="宋体" w:hAnsi="宋体" w:cs="宋体"/>
          <w:sz w:val="24"/>
          <w:szCs w:val="24"/>
          <w:highlight w:val="none"/>
        </w:rPr>
        <w:t xml:space="preserve">联系方式：</w:t>
      </w:r>
      <w:r>
        <w:rPr>
          <w:rFonts w:hint="eastAsia" w:ascii="宋体" w:hAnsi="宋体" w:cs="宋体"/>
          <w:highlight w:val="none"/>
        </w:rPr>
      </w:r>
      <w:r/>
    </w:p>
    <w:p>
      <w:pPr>
        <w:pStyle w:val="939"/>
        <w:ind w:firstLine="480"/>
        <w:jc w:val="left"/>
        <w:spacing w:line="360" w:lineRule="auto"/>
        <w:rPr>
          <w:rFonts w:hint="eastAsia"/>
          <w:highlight w:val="none"/>
        </w:rPr>
      </w:pPr>
      <w:r>
        <w:rPr>
          <w:rFonts w:hint="eastAsia" w:ascii="宋体" w:hAnsi="宋体" w:cs="宋体"/>
          <w:sz w:val="24"/>
          <w:highlight w:val="none"/>
        </w:rPr>
        <w:t xml:space="preserve">根据甲方申请并财政局核准</w:t>
      </w:r>
      <w:r>
        <w:rPr>
          <w:rFonts w:hint="eastAsia" w:ascii="宋体" w:hAnsi="宋体" w:cs="宋体"/>
          <w:sz w:val="24"/>
          <w:highlight w:val="none"/>
          <w:u w:val="single"/>
        </w:rPr>
        <w:t xml:space="preserve">水资源及供水水质监测</w:t>
      </w:r>
      <w:r>
        <w:rPr>
          <w:rFonts w:hint="eastAsia" w:ascii="宋体" w:hAnsi="宋体" w:cs="宋体"/>
          <w:sz w:val="24"/>
          <w:highlight w:val="none"/>
        </w:rPr>
        <w:t xml:space="preserve">政府采购计划，依据甲方委托</w:t>
      </w:r>
      <w:r>
        <w:rPr>
          <w:rFonts w:hint="eastAsia" w:ascii="宋体" w:hAnsi="宋体" w:cs="宋体"/>
          <w:sz w:val="24"/>
          <w:highlight w:val="none"/>
          <w:u w:val="single"/>
        </w:rPr>
        <w:t xml:space="preserve">江苏海外集团国际工程咨询有限公司</w:t>
      </w:r>
      <w:r>
        <w:rPr>
          <w:rFonts w:hint="eastAsia" w:ascii="宋体" w:hAnsi="宋体" w:cs="宋体"/>
          <w:sz w:val="24"/>
          <w:highlight w:val="none"/>
        </w:rPr>
        <w:t xml:space="preserve">进行本项目政府采购</w:t>
      </w:r>
      <w:r>
        <w:rPr>
          <w:rFonts w:hint="eastAsia" w:ascii="宋体" w:hAnsi="宋体" w:cs="宋体"/>
          <w:sz w:val="24"/>
          <w:highlight w:val="none"/>
          <w:u w:val="single"/>
          <w:lang w:eastAsia="zh-CN"/>
        </w:rPr>
        <w:t xml:space="preserve">JSZC-320506-HWZX-C2025-0957</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u w:val="single"/>
        </w:rPr>
        <w:t xml:space="preserve">    </w:t>
      </w:r>
      <w:r>
        <w:rPr>
          <w:rFonts w:hint="eastAsia" w:ascii="宋体" w:hAnsi="宋体" w:cs="宋体"/>
          <w:sz w:val="24"/>
          <w:highlight w:val="none"/>
        </w:rPr>
        <w:t xml:space="preserve">标段磋商结果，确定乙方为本次成交供应商，现依照采购文件、乙方的响应文件及相关文件的内容，签订本合同书。</w:t>
      </w:r>
      <w:r>
        <w:rPr>
          <w:rFonts w:hint="eastAsia"/>
          <w:highlight w:val="none"/>
        </w:rPr>
      </w:r>
      <w:r/>
    </w:p>
    <w:p>
      <w:pPr>
        <w:pStyle w:val="939"/>
        <w:ind w:left="432" w:hanging="432"/>
        <w:spacing w:line="360" w:lineRule="auto"/>
        <w:tabs>
          <w:tab w:val="left" w:pos="432" w:leader="none"/>
        </w:tabs>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一、合同内容：</w:t>
      </w:r>
      <w:r>
        <w:rPr>
          <w:rFonts w:hint="eastAsia" w:ascii="宋体" w:hAnsi="宋体" w:cs="宋体"/>
          <w:b/>
          <w:bCs/>
          <w:sz w:val="24"/>
          <w:szCs w:val="24"/>
          <w:highlight w:val="none"/>
          <w:lang w:val="zh-CN"/>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乙方负责本次招标的项目，</w:t>
      </w:r>
      <w:r>
        <w:rPr>
          <w:rFonts w:hint="eastAsia" w:ascii="宋体" w:hAnsi="宋体" w:cs="宋体"/>
          <w:sz w:val="24"/>
          <w:szCs w:val="24"/>
          <w:highlight w:val="none"/>
        </w:rPr>
        <w:t xml:space="preserve">项目服务内容、采购要求及乙方的其它承诺。</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服务期限：</w:t>
      </w:r>
      <w:r>
        <w:rPr>
          <w:rFonts w:hint="eastAsia" w:ascii="宋体" w:hAnsi="宋体" w:cs="宋体"/>
          <w:sz w:val="24"/>
          <w:szCs w:val="24"/>
          <w:highlight w:val="none"/>
        </w:rPr>
        <w:t xml:space="preserve">签订合同之日起1年(具体起始时间按采购单位要求)。</w:t>
      </w:r>
      <w:r>
        <w:rPr>
          <w:rFonts w:hint="eastAsia" w:ascii="宋体" w:hAnsi="宋体" w:cs="宋体"/>
          <w:sz w:val="24"/>
          <w:szCs w:val="24"/>
          <w:highlight w:val="none"/>
        </w:rPr>
      </w:r>
      <w:r/>
    </w:p>
    <w:p>
      <w:pPr>
        <w:pStyle w:val="939"/>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二、下列文件为本合同不可分割部分：</w:t>
      </w:r>
      <w:r>
        <w:rPr>
          <w:rFonts w:hint="eastAsia" w:ascii="宋体" w:hAnsi="宋体" w:cs="宋体"/>
          <w:b/>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①</w:t>
      </w:r>
      <w:r>
        <w:rPr>
          <w:rFonts w:hint="eastAsia" w:ascii="宋体" w:hAnsi="宋体" w:cs="宋体"/>
          <w:sz w:val="24"/>
          <w:szCs w:val="24"/>
          <w:highlight w:val="none"/>
        </w:rPr>
        <w:t xml:space="preserve">成交</w:t>
      </w:r>
      <w:r>
        <w:rPr>
          <w:rFonts w:hint="eastAsia" w:ascii="宋体" w:hAnsi="宋体" w:cs="宋体"/>
          <w:sz w:val="24"/>
          <w:szCs w:val="24"/>
          <w:highlight w:val="none"/>
          <w:lang w:val="zh-CN"/>
        </w:rPr>
        <w:t xml:space="preserve">通知书；</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②</w:t>
      </w:r>
      <w:r>
        <w:rPr>
          <w:rFonts w:hint="eastAsia" w:ascii="宋体" w:hAnsi="宋体" w:cs="宋体"/>
          <w:sz w:val="24"/>
          <w:szCs w:val="24"/>
          <w:highlight w:val="none"/>
        </w:rPr>
        <w:t xml:space="preserve">政府采购</w:t>
      </w:r>
      <w:r>
        <w:rPr>
          <w:rFonts w:hint="eastAsia" w:ascii="宋体" w:hAnsi="宋体" w:cs="宋体"/>
          <w:sz w:val="24"/>
          <w:szCs w:val="24"/>
          <w:highlight w:val="none"/>
          <w:lang w:val="zh-CN"/>
        </w:rPr>
        <w:t xml:space="preserve">文件</w:t>
      </w:r>
      <w:r>
        <w:rPr>
          <w:rFonts w:hint="eastAsia" w:ascii="宋体" w:hAnsi="宋体" w:cs="宋体"/>
          <w:sz w:val="24"/>
          <w:szCs w:val="24"/>
          <w:highlight w:val="none"/>
        </w:rPr>
        <w:t xml:space="preserve">及其补充文件（如有）</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③乙方的</w:t>
      </w:r>
      <w:r>
        <w:rPr>
          <w:rFonts w:hint="eastAsia" w:ascii="宋体" w:hAnsi="宋体" w:cs="宋体"/>
          <w:sz w:val="24"/>
          <w:szCs w:val="24"/>
          <w:highlight w:val="none"/>
        </w:rPr>
        <w:t xml:space="preserve">磋商响应文件</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④乙方在开标过程中所作的其它承诺、声明、书面澄清等；</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⑤合同附件（如有）。</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以上与本合同具有同等法律效力</w:t>
      </w:r>
      <w:r>
        <w:rPr>
          <w:rFonts w:hint="eastAsia" w:ascii="宋体" w:hAnsi="宋体" w:cs="宋体"/>
          <w:sz w:val="24"/>
          <w:szCs w:val="24"/>
          <w:highlight w:val="none"/>
          <w:lang w:val="zh-CN"/>
        </w:rPr>
      </w:r>
      <w:r/>
    </w:p>
    <w:p>
      <w:pPr>
        <w:pStyle w:val="1064"/>
        <w:ind w:firstLine="0"/>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三、价格与支付：</w:t>
      </w:r>
      <w:r>
        <w:rPr>
          <w:rFonts w:hint="eastAsia" w:ascii="宋体" w:hAnsi="宋体" w:cs="宋体"/>
          <w:b/>
          <w:sz w:val="24"/>
          <w:highlight w:val="none"/>
          <w:lang w:val="zh-CN"/>
        </w:rPr>
      </w:r>
      <w:r/>
    </w:p>
    <w:p>
      <w:pPr>
        <w:pStyle w:val="939"/>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1.合同价格按此次成交价格执行，合同总金额为人民币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元整（</w:t>
      </w:r>
      <w:r>
        <w:rPr>
          <w:rFonts w:ascii="Arial" w:hAnsi="Arial"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括检测仪器、化验分析设备及搬运费、耗材、取样、报告出具、人工、交通、食宿、数据收集及购买资料、采样（样品的抽取、处置、传送和贮存、制备）、测量不确定度的评估、检测、检验数据的分析、记录、专家咨询（如有需要）等相关的检测活动、检测报告的编制及电子、纸质文稿（含递送）、安全及保险、税费等完成该项目工作所发生的全部费用以及投标人企业利润、税金和政策性文件规定及合同包含的所有风险、责任等一切费用。如有漏项，视同已包含在其它项目中，合同总价和单价不做调整。</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2.付款步骤：</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签订合同后，甲方预付合同价的30%；余款于2026年12月底前一次性付清。</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3.付款方式：银行汇票或转账支票。</w:t>
      </w:r>
      <w:r>
        <w:rPr>
          <w:rFonts w:hint="eastAsia" w:ascii="宋体" w:hAnsi="宋体" w:cs="宋体"/>
          <w:sz w:val="24"/>
          <w:szCs w:val="24"/>
          <w:highlight w:val="none"/>
        </w:rPr>
      </w:r>
      <w:r/>
    </w:p>
    <w:p>
      <w:pPr>
        <w:pStyle w:val="939"/>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四、质控要求：</w:t>
      </w:r>
      <w:r>
        <w:rPr>
          <w:rFonts w:hint="eastAsia" w:ascii="宋体" w:hAnsi="宋体" w:cs="宋体"/>
          <w:b/>
          <w:sz w:val="24"/>
          <w:szCs w:val="24"/>
          <w:highlight w:val="none"/>
          <w:lang w:val="zh-CN"/>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样品的采集、保存和管理、水质检测等应严格按照国家相关标准执行；实验室质量控制要满足精密度和准确度的要求。</w:t>
      </w:r>
      <w:r>
        <w:rPr>
          <w:rFonts w:hint="eastAsia" w:ascii="宋体" w:hAnsi="宋体" w:cs="宋体"/>
          <w:sz w:val="24"/>
          <w:szCs w:val="24"/>
          <w:highlight w:val="none"/>
        </w:rPr>
      </w:r>
      <w:r/>
    </w:p>
    <w:p>
      <w:pPr>
        <w:pStyle w:val="939"/>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五、报告要求：</w:t>
      </w:r>
      <w:r>
        <w:rPr>
          <w:rFonts w:hint="eastAsia" w:ascii="宋体" w:hAnsi="宋体" w:cs="宋体"/>
          <w:b/>
          <w:sz w:val="24"/>
          <w:szCs w:val="24"/>
          <w:highlight w:val="none"/>
          <w:lang w:val="zh-CN"/>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乙方在收到甲方书面的采样检测通知后，必须按甲方指定的日期、采样点位和检测项目完成样品采集工作，并且在采样完毕后30天内向甲方提供检测报告一份。</w:t>
      </w:r>
      <w:r>
        <w:rPr>
          <w:rFonts w:hint="eastAsia" w:ascii="宋体" w:hAnsi="宋体" w:cs="宋体"/>
          <w:sz w:val="24"/>
          <w:szCs w:val="24"/>
          <w:highlight w:val="none"/>
        </w:rPr>
      </w:r>
      <w:r/>
    </w:p>
    <w:p>
      <w:pPr>
        <w:pStyle w:val="939"/>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六、质量与验收：</w:t>
      </w:r>
      <w:r>
        <w:rPr>
          <w:rFonts w:hint="eastAsia" w:ascii="宋体" w:hAnsi="宋体" w:cs="宋体"/>
          <w:b/>
          <w:sz w:val="24"/>
          <w:szCs w:val="24"/>
          <w:highlight w:val="none"/>
          <w:lang w:val="zh-CN"/>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2．乙方需在规定的时间内完成项目服务工作，甲方将组织对成果进行确认、验收，如发现与要求不符等问题，应作详细记录，甲方有权要求终止服务，由此造成的各种费用损失均由乙方承担。</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3．乙方应对样品的分析数据有保密责任，不得泄漏给任何第三方。</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4．现场检测项目，必须在样品采集的同时进行测定</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5．乙方在服务期间，应能随时按受甲方要求提供原始记录等的抽检要求；如将承担的检测服务转包他人，或者出现数据弄虚作假欺骗用户，将被解除服务合同。</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6．验收标准：按采购文件的规定。</w:t>
      </w:r>
      <w:r>
        <w:rPr>
          <w:rFonts w:hint="eastAsia" w:ascii="宋体" w:hAnsi="宋体" w:cs="宋体"/>
          <w:sz w:val="24"/>
          <w:szCs w:val="24"/>
          <w:highlight w:val="none"/>
        </w:rPr>
      </w:r>
      <w:r/>
    </w:p>
    <w:p>
      <w:pPr>
        <w:pStyle w:val="939"/>
        <w:spacing w:line="360" w:lineRule="auto"/>
        <w:rPr>
          <w:rFonts w:hint="eastAsia" w:ascii="宋体" w:hAnsi="宋体" w:cs="宋体"/>
          <w:b/>
          <w:bCs/>
          <w:sz w:val="24"/>
          <w:szCs w:val="24"/>
          <w:highlight w:val="none"/>
        </w:rPr>
      </w:pPr>
      <w:r>
        <w:rPr>
          <w:rFonts w:hint="eastAsia" w:ascii="宋体" w:hAnsi="宋体" w:cs="宋体"/>
          <w:b/>
          <w:bCs/>
          <w:sz w:val="24"/>
          <w:szCs w:val="24"/>
          <w:highlight w:val="none"/>
          <w:lang w:val="zh-CN"/>
        </w:rPr>
        <w:t xml:space="preserve">七、</w:t>
      </w:r>
      <w:r>
        <w:rPr>
          <w:rFonts w:hint="eastAsia" w:ascii="宋体" w:hAnsi="宋体" w:cs="宋体"/>
          <w:b/>
          <w:bCs/>
          <w:sz w:val="24"/>
          <w:szCs w:val="24"/>
          <w:highlight w:val="none"/>
        </w:rPr>
        <w:t xml:space="preserve">违约责任</w:t>
      </w:r>
      <w:r>
        <w:rPr>
          <w:rFonts w:hint="eastAsia" w:ascii="宋体" w:hAnsi="宋体" w:cs="宋体"/>
          <w:b/>
          <w:bCs/>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1．如乙方延期完成项目任务，除不可抗拒的因素外，乙方应向甲方就延期偿还违约金，具体按合同的总价款每日0.04%支付，延期时间超过2周，甲方有权终止合同履行，并保留进一步追诉权利。</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2．甲方延期付款时（有正当拒付理由者除外）应向乙方偿付逾期付款违约金，按逾期总额每日0.04%的标准计算；如甲方非乙方原因终止合同应双倍返回履约保证金和保留进一步追诉权利。</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 如乙方未按照响应承诺在合同签订后1个月内在苏州地区设有独立实验室且通过计量认证（并提供有效期内的资质认定证书及附表），视为乙方违约，甲方有权终止合同履行，并保留进一步追诉索赔权利。</w:t>
      </w:r>
      <w:r>
        <w:rPr>
          <w:rFonts w:hint="eastAsia" w:ascii="宋体" w:hAnsi="宋体" w:cs="宋体"/>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bCs/>
          <w:sz w:val="24"/>
          <w:szCs w:val="24"/>
          <w:highlight w:val="none"/>
          <w:lang w:val="zh-CN"/>
        </w:rPr>
        <w:t xml:space="preserve">八、</w:t>
      </w:r>
      <w:r>
        <w:rPr>
          <w:rFonts w:hint="eastAsia" w:ascii="宋体" w:hAnsi="宋体" w:cs="宋体"/>
          <w:b/>
          <w:sz w:val="24"/>
          <w:szCs w:val="24"/>
          <w:highlight w:val="none"/>
        </w:rPr>
        <w:t xml:space="preserve">不可抗力</w:t>
      </w:r>
      <w:r>
        <w:rPr>
          <w:rFonts w:hint="eastAsia" w:ascii="宋体" w:hAnsi="宋体" w:cs="宋体"/>
          <w:b/>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cs="宋体"/>
          <w:sz w:val="24"/>
          <w:szCs w:val="24"/>
          <w:highlight w:val="none"/>
        </w:rPr>
      </w:r>
      <w:r/>
    </w:p>
    <w:p>
      <w:pPr>
        <w:pStyle w:val="939"/>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九、合同的解除和转让</w:t>
      </w:r>
      <w:r>
        <w:rPr>
          <w:rFonts w:hint="eastAsia" w:ascii="宋体" w:hAnsi="宋体" w:cs="宋体"/>
          <w:b/>
          <w:bCs/>
          <w:sz w:val="24"/>
          <w:szCs w:val="24"/>
          <w:highlight w:val="none"/>
          <w:lang w:val="zh-CN"/>
        </w:rPr>
      </w:r>
      <w:r/>
    </w:p>
    <w:p>
      <w:pPr>
        <w:pStyle w:val="939"/>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（一）合同的解除</w:t>
      </w:r>
      <w:r>
        <w:rPr>
          <w:rFonts w:hint="eastAsia" w:ascii="宋体" w:hAnsi="宋体" w:cs="宋体"/>
          <w:b/>
          <w:bCs/>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1．甲方和乙方协商一致，可以解除合同；</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2．有下列情形之一，合同一方可以解除合同：</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2.1因不可抗力致使不能实现合同目的，未受不可抗力影响的一方有权解除合同；</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2.2因合同一方违约导致合同不能履行，另一方有权解除合同；</w:t>
      </w:r>
      <w:r>
        <w:rPr>
          <w:rFonts w:hint="eastAsia" w:ascii="宋体" w:hAnsi="宋体" w:cs="宋体"/>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3．有权解除合同的一方，应当在违约事实或不可抗力发生之后三十天内书面通知对方以主张解除合同，合同在书面通知到达对方时解除。</w:t>
      </w:r>
      <w:r>
        <w:rPr>
          <w:rFonts w:hint="eastAsia" w:ascii="宋体" w:hAnsi="宋体" w:cs="宋体"/>
          <w:sz w:val="24"/>
          <w:szCs w:val="24"/>
          <w:highlight w:val="none"/>
          <w:lang w:val="zh-CN"/>
        </w:rPr>
      </w:r>
      <w:r/>
    </w:p>
    <w:p>
      <w:pPr>
        <w:pStyle w:val="939"/>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（二）合同的转让</w:t>
      </w:r>
      <w:r>
        <w:rPr>
          <w:rFonts w:hint="eastAsia" w:ascii="宋体" w:hAnsi="宋体" w:cs="宋体"/>
          <w:b/>
          <w:bCs/>
          <w:sz w:val="24"/>
          <w:szCs w:val="24"/>
          <w:highlight w:val="none"/>
          <w:lang w:val="zh-CN"/>
        </w:rPr>
      </w:r>
      <w:r/>
    </w:p>
    <w:p>
      <w:pPr>
        <w:pStyle w:val="939"/>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合同的部分和全部都不得转让。</w:t>
      </w:r>
      <w:r>
        <w:rPr>
          <w:rFonts w:hint="eastAsia" w:ascii="宋体" w:hAnsi="宋体" w:cs="宋体"/>
          <w:sz w:val="24"/>
          <w:szCs w:val="24"/>
          <w:highlight w:val="none"/>
          <w:lang w:val="zh-CN"/>
        </w:rPr>
      </w:r>
      <w:r/>
    </w:p>
    <w:p>
      <w:pPr>
        <w:pStyle w:val="939"/>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十、争议解决</w:t>
      </w:r>
      <w:r>
        <w:rPr>
          <w:rFonts w:hint="eastAsia" w:ascii="宋体" w:hAnsi="宋体" w:cs="宋体"/>
          <w:b/>
          <w:bCs/>
          <w:sz w:val="24"/>
          <w:szCs w:val="24"/>
          <w:highlight w:val="none"/>
          <w:lang w:val="zh-CN"/>
        </w:rPr>
      </w:r>
      <w:r/>
    </w:p>
    <w:p>
      <w:pPr>
        <w:pStyle w:val="939"/>
        <w:ind w:firstLine="4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甲乙双方因合同发生争议，应在招标方的主持下进行调解，协商不成，任何一方可以向甲方所在地人民法院起诉。</w:t>
      </w:r>
      <w:r>
        <w:rPr>
          <w:rFonts w:hint="eastAsia" w:ascii="宋体" w:hAnsi="宋体" w:cs="宋体"/>
          <w:sz w:val="24"/>
          <w:szCs w:val="24"/>
          <w:highlight w:val="none"/>
          <w:lang w:val="zh-CN"/>
        </w:rPr>
      </w:r>
      <w:r/>
    </w:p>
    <w:p>
      <w:pPr>
        <w:pStyle w:val="939"/>
        <w:spacing w:line="360" w:lineRule="auto"/>
        <w:rPr>
          <w:rFonts w:hint="eastAsia" w:ascii="宋体" w:hAnsi="宋体" w:cs="宋体"/>
          <w:b/>
          <w:sz w:val="24"/>
          <w:szCs w:val="24"/>
          <w:highlight w:val="none"/>
        </w:rPr>
      </w:pPr>
      <w:r>
        <w:rPr>
          <w:rFonts w:hint="eastAsia" w:ascii="宋体" w:hAnsi="宋体" w:cs="宋体"/>
          <w:b/>
          <w:bCs/>
          <w:sz w:val="24"/>
          <w:szCs w:val="24"/>
          <w:highlight w:val="none"/>
          <w:lang w:val="zh-CN"/>
        </w:rPr>
        <w:t xml:space="preserve">十一、</w:t>
      </w:r>
      <w:r>
        <w:rPr>
          <w:rFonts w:hint="eastAsia" w:ascii="宋体" w:hAnsi="宋体" w:cs="宋体"/>
          <w:b/>
          <w:sz w:val="24"/>
          <w:szCs w:val="24"/>
          <w:highlight w:val="none"/>
        </w:rPr>
        <w:t xml:space="preserve">合同生效及其它：</w:t>
      </w:r>
      <w:r>
        <w:rPr>
          <w:rFonts w:hint="eastAsia" w:ascii="宋体" w:hAnsi="宋体" w:cs="宋体"/>
          <w:b/>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本合同经招标代理机构加盖骑缝章及甲乙双方法定代表人或授权代表人签字并加盖公章（或合同章）后生效，并在合同签订后2个工作日内提交招标代理机构系统备案</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在执行过程中出现的未尽事宜，双方在不违背本合同和磋商采购文件的原则下协商解决，协商结果以书面形式盖章记录在案，作为本合同的附件，与本合同具有同等效力，但需提交招标代理机构一份备存。</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4．合同的份数：本合同一式六份，甲方贰份、乙方贰份、政府采购监督管理部门及采购代理机构各执一份。</w:t>
      </w:r>
      <w:r>
        <w:rPr>
          <w:rFonts w:hint="eastAsia" w:ascii="宋体" w:hAnsi="宋体" w:cs="宋体"/>
          <w:sz w:val="24"/>
          <w:szCs w:val="24"/>
          <w:highlight w:val="none"/>
        </w:rPr>
      </w:r>
      <w:r/>
    </w:p>
    <w:p>
      <w:pPr>
        <w:pStyle w:val="939"/>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甲方：（盖章）                                乙方：（盖章）</w:t>
      </w:r>
      <w:r>
        <w:rPr>
          <w:rFonts w:hint="eastAsia" w:ascii="宋体" w:hAnsi="宋体" w:cs="宋体"/>
          <w:sz w:val="24"/>
          <w:szCs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法定（授权）代表人（签字或盖章）：         法定（授权）代表人（签字或盖章）：</w:t>
      </w:r>
      <w:r>
        <w:rPr>
          <w:rFonts w:hint="eastAsia" w:ascii="宋体" w:hAnsi="宋体" w:cs="宋体"/>
          <w:sz w:val="24"/>
          <w:szCs w:val="24"/>
          <w:highlight w:val="none"/>
        </w:rPr>
      </w:r>
      <w:r/>
    </w:p>
    <w:p>
      <w:pPr>
        <w:pStyle w:val="939"/>
        <w:rPr>
          <w:rFonts w:hint="eastAsia" w:ascii="宋体" w:hAnsi="宋体" w:cs="宋体"/>
          <w:sz w:val="24"/>
          <w:szCs w:val="24"/>
          <w:highlight w:val="none"/>
        </w:rPr>
      </w:pPr>
      <w:r>
        <w:rPr>
          <w:rFonts w:hint="eastAsia" w:ascii="宋体" w:hAnsi="宋体" w:cs="宋体"/>
          <w:sz w:val="24"/>
          <w:szCs w:val="24"/>
          <w:highlight w:val="none"/>
        </w:rPr>
        <w:t xml:space="preserve">日期：   年   月   日                        日期：   年   月   日</w:t>
      </w:r>
      <w:r>
        <w:rPr>
          <w:rFonts w:hint="eastAsia" w:ascii="宋体" w:hAnsi="宋体" w:cs="宋体"/>
          <w:sz w:val="24"/>
          <w:szCs w:val="24"/>
          <w:highlight w:val="none"/>
        </w:rPr>
      </w:r>
      <w:r/>
    </w:p>
    <w:p>
      <w:pPr>
        <w:pStyle w:val="939"/>
        <w:jc w:val="center"/>
        <w:spacing w:line="360" w:lineRule="auto"/>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t xml:space="preserve">五、响应文件格式 </w:t>
      </w:r>
      <w:r>
        <w:rPr>
          <w:rFonts w:hint="eastAsia" w:ascii="宋体" w:hAnsi="宋体" w:cs="宋体"/>
          <w:b/>
          <w:sz w:val="32"/>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t xml:space="preserve">附件1、（供应商）授权委托书</w:t>
      </w:r>
      <w:r>
        <w:rPr>
          <w:rFonts w:hint="eastAsia" w:ascii="宋体" w:hAnsi="宋体" w:cs="宋体"/>
          <w:b/>
          <w:sz w:val="24"/>
          <w:szCs w:val="24"/>
          <w:highlight w:val="none"/>
        </w:rPr>
      </w:r>
      <w:r/>
    </w:p>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授权委托书</w:t>
      </w:r>
      <w:r>
        <w:rPr>
          <w:rFonts w:hint="eastAsia" w:ascii="宋体" w:hAnsi="宋体" w:cs="宋体"/>
          <w:sz w:val="24"/>
          <w:szCs w:val="24"/>
          <w:highlight w:val="none"/>
        </w:rPr>
      </w:r>
      <w:r/>
    </w:p>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本授权委托书声明：  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（姓名）系</w:t>
      </w:r>
      <w:r>
        <w:rPr>
          <w:rFonts w:hint="eastAsia" w:ascii="宋体" w:hAnsi="宋体" w:cs="宋体"/>
          <w:sz w:val="24"/>
          <w:szCs w:val="24"/>
          <w:highlight w:val="none"/>
          <w:u w:val="single"/>
        </w:rPr>
        <w:t xml:space="preserve">  （供应商名称）</w:t>
      </w:r>
      <w:r>
        <w:rPr>
          <w:rFonts w:hint="eastAsia" w:ascii="宋体" w:hAnsi="宋体" w:cs="宋体"/>
          <w:sz w:val="24"/>
          <w:szCs w:val="24"/>
          <w:highlight w:val="none"/>
        </w:rPr>
        <w:t xml:space="preserve">的法定代表人，现授权委托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（姓名）为我公司授权代表（即代理人），以本公司的名义参加 </w:t>
      </w:r>
      <w:r>
        <w:rPr>
          <w:rFonts w:hint="eastAsia" w:ascii="宋体" w:hAnsi="宋体" w:cs="宋体"/>
          <w:sz w:val="24"/>
          <w:szCs w:val="24"/>
          <w:highlight w:val="none"/>
          <w:u w:val="single"/>
        </w:rPr>
        <w:t xml:space="preserve">  江苏海外集团国际工程咨询有限公司</w:t>
      </w:r>
      <w:r>
        <w:rPr>
          <w:rFonts w:hint="eastAsia" w:ascii="宋体" w:hAnsi="宋体" w:cs="宋体"/>
          <w:b/>
          <w:i/>
          <w:sz w:val="24"/>
          <w:szCs w:val="24"/>
          <w:highlight w:val="none"/>
          <w:u w:val="single"/>
        </w:rPr>
        <w:t xml:space="preserve">  </w:t>
      </w:r>
      <w:r>
        <w:rPr>
          <w:rFonts w:hint="eastAsia" w:ascii="宋体" w:hAnsi="宋体" w:cs="宋体"/>
          <w:sz w:val="24"/>
          <w:szCs w:val="24"/>
          <w:highlight w:val="none"/>
        </w:rPr>
        <w:t xml:space="preserve"> 组织实施的编号为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标段的磋商活动。授权代表在磋商活动过程中所签署的一切文件和处理与这有关的一切事务，我均予以承认。</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授权代表无转委托权。特此委托。</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代理人：（签字或盖章）</w:t>
      </w: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　　　                     　　　　　年　　  月　　  日</w:t>
      </w:r>
      <w:r>
        <w:rPr>
          <w:rFonts w:hint="eastAsia" w:ascii="宋体" w:hAnsi="宋体" w:cs="宋体"/>
          <w:sz w:val="24"/>
          <w:szCs w:val="24"/>
          <w:highlight w:val="none"/>
        </w:rPr>
      </w:r>
      <w:r/>
    </w:p>
    <w:p>
      <w:pPr>
        <w:pStyle w:val="939"/>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spacing w:line="380" w:lineRule="exact"/>
        <w:rPr>
          <w:rFonts w:hint="eastAsia" w:ascii="宋体" w:hAnsi="宋体" w:cs="宋体"/>
          <w:b/>
          <w:sz w:val="24"/>
          <w:szCs w:val="24"/>
          <w:highlight w:val="none"/>
        </w:rPr>
      </w:pPr>
      <w:r>
        <w:rPr>
          <w:rFonts w:hint="eastAsia" w:ascii="宋体" w:hAnsi="宋体" w:cs="宋体"/>
          <w:highlight w:val="none"/>
        </w:rPr>
        <w:br w:type="page" w:clear="all"/>
      </w:r>
      <w:r>
        <w:rPr>
          <w:rFonts w:hint="eastAsia" w:ascii="宋体" w:hAnsi="宋体" w:cs="宋体"/>
          <w:b/>
          <w:sz w:val="24"/>
          <w:szCs w:val="24"/>
          <w:highlight w:val="none"/>
        </w:rPr>
        <w:t xml:space="preserve">附件2、磋商响应函</w:t>
      </w:r>
      <w:r>
        <w:rPr>
          <w:rFonts w:hint="eastAsia" w:ascii="宋体" w:hAnsi="宋体" w:cs="宋体"/>
          <w:b/>
          <w:sz w:val="24"/>
          <w:szCs w:val="24"/>
          <w:highlight w:val="none"/>
        </w:rPr>
      </w:r>
      <w:r/>
    </w:p>
    <w:p>
      <w:pPr>
        <w:pStyle w:val="939"/>
        <w:jc w:val="cente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39"/>
        <w:jc w:val="center"/>
        <w:spacing w:line="380" w:lineRule="exact"/>
        <w:rPr>
          <w:rFonts w:hint="eastAsia" w:ascii="宋体" w:hAnsi="宋体" w:cs="宋体"/>
          <w:sz w:val="24"/>
          <w:szCs w:val="24"/>
          <w:highlight w:val="none"/>
        </w:rPr>
      </w:pPr>
      <w:r>
        <w:rPr>
          <w:rFonts w:hint="eastAsia" w:ascii="宋体" w:hAnsi="宋体" w:cs="宋体"/>
          <w:sz w:val="24"/>
          <w:szCs w:val="24"/>
          <w:highlight w:val="none"/>
        </w:rPr>
      </w:r>
      <w:r/>
    </w:p>
    <w:p>
      <w:pPr>
        <w:pStyle w:val="939"/>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江苏海外集团国际工程咨询有限公司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39"/>
        <w:spacing w:line="380" w:lineRule="exact"/>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我们收到贵公司</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标段磋商文件，经仔细阅读和研究，我们决定参加磋商活动。</w:t>
      </w:r>
      <w:r>
        <w:rPr>
          <w:rFonts w:hint="eastAsia" w:ascii="宋体" w:hAnsi="宋体" w:cs="宋体"/>
          <w:sz w:val="24"/>
          <w:szCs w:val="24"/>
          <w:highlight w:val="none"/>
        </w:rPr>
      </w:r>
      <w:r/>
    </w:p>
    <w:p>
      <w:pPr>
        <w:pStyle w:val="939"/>
        <w:ind w:firstLine="42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1、我们愿意按照磋商文件的一切要求，完成该项目的全部内容。</w:t>
      </w:r>
      <w:r>
        <w:rPr>
          <w:rFonts w:hint="eastAsia" w:ascii="宋体" w:hAnsi="宋体" w:cs="宋体"/>
          <w:b/>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3、我们已详细阅读全部磋商文件，包括更正公告(如有)，对磋商文件及更正公告(如有)无任何异议。</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4、我们同意按磋商文件中的规定，本响应文件的有效期限自提交响应文件截止时间之日起</w:t>
      </w: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天。</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5、我们愿意提供磋商采购单位在磋商文件中要求的相关资料。</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6、我们愿意遵守磋商文件中所列的收费标准。</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7、我们承诺该响应文件在磋商开始后的全过程中保持有效，不作任何更改和变动。</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8、我们承诺我公司符合磋商文件中“合格供应商的基本、特定条件”的要求，若与真实情况不符，本公司愿意承担由此而产生的一切后果。</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所有有关磋商文件的函电，请按下列地址联系：</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                             联系人：</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邮政编码：</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                         传真：</w:t>
      </w:r>
      <w:r>
        <w:rPr>
          <w:rFonts w:hint="eastAsia" w:ascii="宋体" w:hAnsi="宋体" w:cs="宋体"/>
          <w:sz w:val="24"/>
          <w:szCs w:val="24"/>
          <w:highlight w:val="none"/>
        </w:rPr>
      </w:r>
      <w:r/>
    </w:p>
    <w:p>
      <w:pPr>
        <w:pStyle w:val="939"/>
        <w:ind w:left="3400" w:firstLine="7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39"/>
        <w:ind w:left="3824" w:firstLine="31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法定代表人或代理人：（签字或盖章）</w:t>
      </w:r>
      <w:r>
        <w:rPr>
          <w:rFonts w:hint="eastAsia" w:ascii="宋体" w:hAnsi="宋体" w:cs="宋体"/>
          <w:sz w:val="24"/>
          <w:szCs w:val="24"/>
          <w:highlight w:val="none"/>
        </w:rPr>
      </w:r>
      <w:r/>
    </w:p>
    <w:p>
      <w:pPr>
        <w:pStyle w:val="939"/>
        <w:ind w:left="3400" w:firstLine="7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highlight w:val="none"/>
        </w:rPr>
        <w:br w:type="page" w:clear="all"/>
      </w:r>
      <w:r>
        <w:rPr>
          <w:rFonts w:hint="eastAsia" w:ascii="宋体" w:hAnsi="宋体" w:cs="宋体"/>
          <w:b/>
          <w:sz w:val="24"/>
          <w:szCs w:val="24"/>
          <w:highlight w:val="none"/>
        </w:rPr>
        <w:t xml:space="preserve">附件3、磋商报价表</w:t>
      </w:r>
      <w:r>
        <w:rPr>
          <w:rFonts w:hint="eastAsia" w:ascii="宋体" w:hAnsi="宋体" w:cs="宋体"/>
          <w:b/>
          <w:sz w:val="24"/>
          <w:szCs w:val="24"/>
          <w:highlight w:val="none"/>
        </w:rPr>
      </w:r>
      <w:r/>
    </w:p>
    <w:p>
      <w:pPr>
        <w:pStyle w:val="939"/>
        <w:jc w:val="center"/>
        <w:rPr>
          <w:rFonts w:hint="eastAsia" w:ascii="宋体" w:hAnsi="宋体" w:cs="宋体"/>
          <w:b/>
          <w:sz w:val="24"/>
          <w:szCs w:val="24"/>
          <w:highlight w:val="none"/>
        </w:rPr>
      </w:pPr>
      <w:r>
        <w:rPr>
          <w:rFonts w:hint="eastAsia" w:ascii="宋体" w:hAnsi="宋体" w:cs="宋体"/>
          <w:b/>
          <w:sz w:val="24"/>
          <w:szCs w:val="24"/>
          <w:highlight w:val="none"/>
        </w:rPr>
        <w:t xml:space="preserve">磋商响应报价表</w:t>
      </w:r>
      <w:r>
        <w:rPr>
          <w:rFonts w:hint="eastAsia" w:ascii="宋体" w:hAnsi="宋体" w:cs="宋体"/>
          <w:b/>
          <w:sz w:val="24"/>
          <w:szCs w:val="24"/>
          <w:highlight w:val="none"/>
        </w:rPr>
      </w:r>
      <w:r/>
    </w:p>
    <w:p>
      <w:pPr>
        <w:pStyle w:val="939"/>
        <w:jc w:val="center"/>
        <w:rPr>
          <w:rFonts w:hint="eastAsia" w:ascii="宋体" w:hAnsi="宋体" w:cs="宋体"/>
          <w:b/>
          <w:sz w:val="24"/>
          <w:szCs w:val="24"/>
          <w:highlight w:val="none"/>
        </w:rPr>
      </w:pPr>
      <w:r>
        <w:rPr>
          <w:rFonts w:hint="eastAsia" w:ascii="宋体" w:hAnsi="宋体" w:cs="宋体"/>
          <w:b/>
          <w:sz w:val="24"/>
          <w:szCs w:val="24"/>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46"/>
        <w:gridCol w:w="7490"/>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highlight w:val="none"/>
              </w:rPr>
              <w:t xml:space="preserve"> </w:t>
            </w:r>
            <w:r>
              <w:rPr>
                <w:rFonts w:hint="eastAsia" w:ascii="宋体" w:hAnsi="宋体" w:cs="宋体"/>
                <w:sz w:val="24"/>
                <w:szCs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采购编号</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标段号</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响应总报价</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服务期限</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5" w:type="dxa"/>
            <w:vAlign w:val="center"/>
            <w:textDirection w:val="lrTb"/>
            <w:noWrap w:val="false"/>
          </w:tcPr>
          <w:p>
            <w:pPr>
              <w:pStyle w:val="939"/>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是否小微企业</w:t>
            </w:r>
            <w:r>
              <w:rPr>
                <w:rFonts w:hint="eastAsia" w:ascii="宋体" w:hAnsi="宋体" w:cs="宋体"/>
                <w:sz w:val="24"/>
                <w:szCs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3694" w:type="dxa"/>
            <w:vAlign w:val="center"/>
            <w:textDirection w:val="lrTb"/>
            <w:noWrap w:val="false"/>
          </w:tcPr>
          <w:p>
            <w:pPr>
              <w:pStyle w:val="939"/>
              <w:ind w:firstLine="105"/>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□小型      □微型         □残疾人企业      □监狱企业</w:t>
            </w:r>
            <w:r>
              <w:rPr>
                <w:rFonts w:ascii="宋体" w:hAnsi="宋体" w:cs="宋体"/>
                <w:sz w:val="24"/>
                <w:szCs w:val="24"/>
                <w:highlight w:val="none"/>
              </w:rPr>
            </w:r>
            <w:r/>
          </w:p>
        </w:tc>
      </w:tr>
    </w:tbl>
    <w:p>
      <w:pPr>
        <w:pStyle w:val="939"/>
        <w:jc w:val="left"/>
        <w:spacing w:line="360" w:lineRule="auto"/>
        <w:tabs>
          <w:tab w:val="left" w:pos="425" w:leader="none"/>
        </w:tabs>
        <w:rPr>
          <w:rFonts w:hint="eastAsia" w:ascii="宋体" w:hAnsi="宋体" w:cs="宋体"/>
          <w:b/>
          <w:szCs w:val="22"/>
          <w:highlight w:val="none"/>
        </w:rPr>
      </w:pPr>
      <w:r>
        <w:rPr>
          <w:rFonts w:hint="eastAsia" w:ascii="宋体" w:hAnsi="宋体" w:cs="宋体"/>
          <w:sz w:val="24"/>
          <w:szCs w:val="24"/>
          <w:highlight w:val="none"/>
        </w:rPr>
        <w:t xml:space="preserve">注：</w:t>
      </w:r>
      <w:r>
        <w:rPr>
          <w:rFonts w:hint="eastAsia" w:ascii="宋体" w:hAnsi="宋体" w:cs="宋体"/>
          <w:b/>
          <w:szCs w:val="21"/>
          <w:highlight w:val="none"/>
        </w:rPr>
        <w:t xml:space="preserve">1、</w:t>
      </w:r>
      <w:r>
        <w:rPr>
          <w:rFonts w:hint="eastAsia" w:ascii="宋体" w:hAnsi="宋体" w:cs="宋体"/>
          <w:b/>
          <w:szCs w:val="22"/>
          <w:highlight w:val="none"/>
        </w:rPr>
        <w:t xml:space="preserve">响应总报价包含完成全部服务内容所需的检测仪器、化验分析设备及搬运费、耗材、取样、报告出具、人工、交通、食宿、数据收集及购买资料、采样（样品的抽取、处置、传送和贮存、制备）、测量不确定度的评估、检测、检验数据的分析、记录、专家咨询（如有需要）等相关的检测活动、检测报告的编制及电子、纸质文稿（含递送）、安全及保险、税费等完成该项目工作所发生的全部费用以及投标人企业利润、税金和政策性文件规定及合同包含的所有风险、责任等一切费用。</w:t>
      </w:r>
      <w:r>
        <w:rPr>
          <w:rFonts w:hint="eastAsia" w:ascii="宋体" w:hAnsi="宋体" w:cs="宋体"/>
          <w:b/>
          <w:szCs w:val="22"/>
          <w:highlight w:val="none"/>
        </w:rPr>
      </w:r>
      <w:r/>
    </w:p>
    <w:p>
      <w:pPr>
        <w:pStyle w:val="939"/>
        <w:spacing w:line="400" w:lineRule="exact"/>
        <w:rPr>
          <w:rFonts w:hint="eastAsia" w:ascii="宋体" w:hAnsi="宋体" w:cs="宋体"/>
          <w:b/>
          <w:highlight w:val="none"/>
          <w:u w:val="single"/>
        </w:rPr>
      </w:pPr>
      <w:r>
        <w:rPr>
          <w:rFonts w:hint="eastAsia" w:ascii="宋体" w:hAnsi="宋体" w:cs="宋体"/>
          <w:b/>
          <w:highlight w:val="none"/>
        </w:rPr>
        <w:t xml:space="preserve">2、报价金额全部采取人民币表示，响应报价精确到分。</w:t>
      </w:r>
      <w:r>
        <w:rPr>
          <w:rFonts w:hint="eastAsia" w:ascii="宋体" w:hAnsi="宋体" w:cs="宋体"/>
          <w:b/>
          <w:highlight w:val="none"/>
          <w:u w:val="single"/>
        </w:rPr>
      </w:r>
      <w:r/>
    </w:p>
    <w:p>
      <w:pPr>
        <w:pStyle w:val="1020"/>
        <w:ind w:firstLine="0"/>
        <w:rPr>
          <w:rFonts w:hint="eastAsia" w:ascii="宋体" w:hAnsi="宋体" w:cs="宋体"/>
          <w:sz w:val="20"/>
          <w:highlight w:val="none"/>
          <w:lang w:val="en-US"/>
        </w:rPr>
      </w:pPr>
      <w:r>
        <w:rPr>
          <w:rFonts w:hint="eastAsia" w:ascii="宋体" w:hAnsi="宋体" w:cs="宋体"/>
          <w:sz w:val="20"/>
          <w:highlight w:val="none"/>
          <w:lang w:val="en-US"/>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3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法定代表人或代理人：（签字或盖章）</w:t>
      </w:r>
      <w:r>
        <w:rPr>
          <w:rFonts w:hint="eastAsia" w:ascii="宋体" w:hAnsi="宋体" w:cs="宋体"/>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b/>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39"/>
        <w:spacing w:line="360" w:lineRule="auto"/>
        <w:rPr>
          <w:rFonts w:hint="eastAsia" w:ascii="宋体" w:hAnsi="宋体" w:cs="宋体"/>
          <w:b/>
          <w:highlight w:val="none"/>
        </w:rPr>
      </w:pPr>
      <w:r>
        <w:rPr>
          <w:rFonts w:hint="eastAsia" w:ascii="宋体" w:hAnsi="宋体" w:cs="宋体"/>
          <w:b/>
          <w:highlight w:val="none"/>
        </w:rPr>
      </w:r>
      <w:r/>
    </w:p>
    <w:p>
      <w:pPr>
        <w:pStyle w:val="939"/>
        <w:spacing w:line="360" w:lineRule="auto"/>
        <w:rPr>
          <w:rFonts w:hint="eastAsia" w:ascii="宋体" w:hAnsi="宋体" w:cs="宋体"/>
          <w:b/>
          <w:highlight w:val="none"/>
        </w:rPr>
      </w:pPr>
      <w:r>
        <w:rPr>
          <w:rFonts w:hint="eastAsia" w:ascii="宋体" w:hAnsi="宋体" w:cs="宋体"/>
          <w:b/>
          <w:highlight w:val="none"/>
        </w:rPr>
      </w:r>
      <w:r/>
    </w:p>
    <w:p>
      <w:pPr>
        <w:pStyle w:val="939"/>
        <w:spacing w:line="360" w:lineRule="auto"/>
        <w:rPr>
          <w:rFonts w:hint="eastAsia" w:ascii="宋体" w:hAnsi="宋体" w:cs="宋体"/>
          <w:b/>
          <w:highlight w:val="none"/>
        </w:rPr>
      </w:pPr>
      <w:r>
        <w:rPr>
          <w:rFonts w:hint="eastAsia" w:ascii="宋体" w:hAnsi="宋体" w:cs="宋体"/>
          <w:b/>
          <w:highlight w:val="none"/>
        </w:rPr>
      </w:r>
      <w:r/>
    </w:p>
    <w:p>
      <w:pPr>
        <w:pStyle w:val="939"/>
        <w:spacing w:line="360" w:lineRule="auto"/>
        <w:rPr>
          <w:rFonts w:hint="eastAsia" w:ascii="宋体" w:hAnsi="宋体" w:cs="宋体"/>
          <w:b/>
          <w:highlight w:val="none"/>
        </w:rPr>
      </w:pPr>
      <w:r>
        <w:rPr>
          <w:rFonts w:hint="eastAsia" w:ascii="宋体" w:hAnsi="宋体" w:cs="宋体"/>
          <w:b/>
          <w:highlight w:val="none"/>
        </w:rPr>
      </w:r>
      <w:r/>
    </w:p>
    <w:p>
      <w:pPr>
        <w:pStyle w:val="939"/>
        <w:jc w:val="center"/>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939"/>
        <w:rPr>
          <w:rFonts w:ascii="宋体"/>
          <w:b/>
          <w:sz w:val="24"/>
          <w:szCs w:val="24"/>
          <w:highlight w:val="none"/>
        </w:rPr>
      </w:pPr>
      <w:r>
        <w:rPr>
          <w:rFonts w:hint="eastAsia" w:ascii="宋体" w:hAnsi="宋体" w:cs="宋体"/>
          <w:b/>
          <w:sz w:val="24"/>
          <w:szCs w:val="24"/>
          <w:highlight w:val="none"/>
        </w:rPr>
        <w:t xml:space="preserve">附件4、磋商响应报价明细表</w:t>
      </w:r>
      <w:r>
        <w:rPr>
          <w:rFonts w:ascii="宋体"/>
          <w:b/>
          <w:sz w:val="24"/>
          <w:szCs w:val="24"/>
          <w:highlight w:val="none"/>
        </w:rPr>
      </w:r>
      <w:r/>
    </w:p>
    <w:p>
      <w:pPr>
        <w:pStyle w:val="939"/>
        <w:jc w:val="left"/>
        <w:rPr>
          <w:rFonts w:ascii="宋体" w:hAnsi="宋体" w:cs="宋体"/>
          <w:b/>
          <w:sz w:val="24"/>
          <w:szCs w:val="24"/>
          <w:highlight w:val="none"/>
        </w:rPr>
      </w:pPr>
      <w:r>
        <w:rPr>
          <w:rFonts w:ascii="宋体" w:hAnsi="宋体" w:cs="宋体"/>
          <w:b/>
          <w:sz w:val="24"/>
          <w:szCs w:val="24"/>
          <w:highlight w:val="none"/>
        </w:rPr>
      </w:r>
      <w:r/>
    </w:p>
    <w:p>
      <w:pPr>
        <w:pStyle w:val="939"/>
        <w:jc w:val="center"/>
        <w:rPr>
          <w:rFonts w:hint="eastAsia" w:ascii="宋体"/>
          <w:b/>
          <w:sz w:val="24"/>
          <w:szCs w:val="24"/>
          <w:highlight w:val="none"/>
        </w:rPr>
      </w:pPr>
      <w:r>
        <w:rPr>
          <w:rFonts w:hint="eastAsia" w:ascii="宋体" w:hAnsi="宋体" w:cs="宋体"/>
          <w:b/>
          <w:sz w:val="24"/>
          <w:szCs w:val="24"/>
          <w:highlight w:val="none"/>
        </w:rPr>
        <w:t xml:space="preserve">磋商响应报价明细表（</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标段）</w:t>
      </w:r>
      <w:r>
        <w:rPr>
          <w:rFonts w:hint="eastAsia" w:ascii="宋体"/>
          <w:b/>
          <w:sz w:val="24"/>
          <w:szCs w:val="24"/>
          <w:highlight w:val="none"/>
        </w:rPr>
      </w:r>
      <w:r/>
    </w:p>
    <w:p>
      <w:pPr>
        <w:pStyle w:val="939"/>
        <w:spacing w:line="360" w:lineRule="auto"/>
        <w:rPr>
          <w:rFonts w:hint="eastAsia" w:ascii="宋体" w:hAnsi="宋体" w:cs="宋体"/>
          <w:szCs w:val="21"/>
          <w:highlight w:val="none"/>
        </w:rPr>
      </w:pPr>
      <w:r>
        <w:rPr>
          <w:rFonts w:hint="eastAsia" w:ascii="宋体" w:hAnsi="宋体" w:cs="宋体"/>
          <w:szCs w:val="21"/>
          <w:highlight w:val="none"/>
        </w:rPr>
        <w:t xml:space="preserve">单位：人民币元</w:t>
      </w:r>
      <w:r>
        <w:rPr>
          <w:rFonts w:hint="eastAsia" w:ascii="宋体" w:hAnsi="宋体" w:cs="宋体"/>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228"/>
        <w:gridCol w:w="2340"/>
        <w:gridCol w:w="1817"/>
        <w:gridCol w:w="1504"/>
        <w:gridCol w:w="1302"/>
      </w:tblGrid>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单价（元）</w:t>
            </w: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报价（元）</w:t>
            </w: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tc>
      </w:tr>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70"/>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454"/>
        </w:trPr>
        <w:tc>
          <w:tcPr>
            <w:tcW w:w="466"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c>
          <w:tcPr>
            <w:gridSpan w:val="2"/>
            <w:tcW w:w="4568"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896"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742"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c>
          <w:tcPr>
            <w:tcW w:w="640" w:type="dxa"/>
            <w:vAlign w:val="center"/>
            <w:textDirection w:val="lrTb"/>
            <w:noWrap/>
          </w:tcPr>
          <w:p>
            <w:pPr>
              <w:pStyle w:val="939"/>
              <w:spacing w:line="360" w:lineRule="auto"/>
              <w:rPr>
                <w:rFonts w:ascii="宋体" w:hAnsi="宋体"/>
                <w:sz w:val="24"/>
                <w:szCs w:val="24"/>
                <w:highlight w:val="none"/>
              </w:rPr>
            </w:pPr>
            <w:r>
              <w:rPr>
                <w:rFonts w:ascii="宋体" w:hAnsi="宋体"/>
                <w:sz w:val="24"/>
                <w:szCs w:val="24"/>
                <w:highlight w:val="none"/>
              </w:rPr>
            </w:r>
            <w:r/>
          </w:p>
        </w:tc>
      </w:tr>
      <w:tr>
        <w:trPr>
          <w:trHeight w:val="454"/>
        </w:trPr>
        <w:tc>
          <w:tcPr>
            <w:gridSpan w:val="2"/>
            <w:tcW w:w="3173"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总报价：</w:t>
            </w:r>
            <w:r>
              <w:rPr>
                <w:rFonts w:ascii="宋体" w:hAnsi="宋体"/>
                <w:sz w:val="24"/>
                <w:szCs w:val="24"/>
                <w:highlight w:val="none"/>
              </w:rPr>
            </w:r>
            <w:r/>
          </w:p>
        </w:tc>
        <w:tc>
          <w:tcPr>
            <w:gridSpan w:val="4"/>
            <w:tcW w:w="6963" w:type="dxa"/>
            <w:vAlign w:val="center"/>
            <w:textDirection w:val="lrTb"/>
            <w:noWrap/>
          </w:tcPr>
          <w:p>
            <w:pPr>
              <w:pStyle w:val="939"/>
              <w:spacing w:line="360" w:lineRule="auto"/>
              <w:rPr>
                <w:rFonts w:ascii="宋体" w:hAnsi="宋体"/>
                <w:sz w:val="24"/>
                <w:szCs w:val="24"/>
                <w:highlight w:val="none"/>
              </w:rPr>
            </w:pPr>
            <w:r>
              <w:rPr>
                <w:rFonts w:hint="eastAsia" w:ascii="宋体" w:hAnsi="宋体"/>
                <w:sz w:val="24"/>
                <w:szCs w:val="24"/>
                <w:highlight w:val="none"/>
              </w:rPr>
              <w:t xml:space="preserve">（小写）：</w:t>
            </w:r>
            <w:r>
              <w:rPr>
                <w:rFonts w:ascii="宋体" w:hAnsi="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（大写）：</w:t>
            </w:r>
            <w:r>
              <w:rPr>
                <w:rFonts w:ascii="宋体" w:hAnsi="宋体"/>
                <w:sz w:val="24"/>
                <w:szCs w:val="24"/>
                <w:highlight w:val="none"/>
              </w:rPr>
            </w:r>
            <w:r/>
          </w:p>
        </w:tc>
      </w:tr>
    </w:tbl>
    <w:p>
      <w:pPr>
        <w:pStyle w:val="1044"/>
        <w:ind w:firstLine="420"/>
        <w:rPr>
          <w:rFonts w:hint="eastAsia" w:ascii="宋体" w:hAnsi="宋体" w:cs="宋体"/>
          <w:szCs w:val="24"/>
          <w:highlight w:val="none"/>
        </w:rPr>
      </w:pPr>
      <w:r>
        <w:rPr>
          <w:rFonts w:hint="eastAsia" w:ascii="宋体" w:hAnsi="宋体" w:cs="宋体"/>
          <w:szCs w:val="24"/>
          <w:highlight w:val="none"/>
        </w:rPr>
      </w:r>
      <w:r/>
    </w:p>
    <w:p>
      <w:pPr>
        <w:pStyle w:val="1044"/>
        <w:ind w:firstLine="420"/>
        <w:rPr>
          <w:rFonts w:hint="eastAsia" w:ascii="宋体" w:hAnsi="宋体" w:cs="宋体"/>
          <w:szCs w:val="24"/>
          <w:highlight w:val="none"/>
        </w:rPr>
      </w:pPr>
      <w:r>
        <w:rPr>
          <w:rFonts w:hint="eastAsia" w:ascii="宋体" w:hAnsi="宋体" w:cs="宋体"/>
          <w:szCs w:val="24"/>
          <w:highlight w:val="none"/>
        </w:rPr>
        <w:t xml:space="preserve">注：</w:t>
      </w:r>
      <w:r>
        <w:rPr>
          <w:rFonts w:hint="eastAsia" w:ascii="宋体" w:hAnsi="宋体" w:cs="宋体"/>
          <w:szCs w:val="24"/>
          <w:highlight w:val="none"/>
        </w:rPr>
      </w:r>
      <w:r/>
    </w:p>
    <w:p>
      <w:pPr>
        <w:pStyle w:val="1044"/>
        <w:ind w:firstLine="420"/>
        <w:rPr>
          <w:rFonts w:hint="eastAsia" w:ascii="宋体" w:hAnsi="宋体" w:cs="宋体"/>
          <w:szCs w:val="24"/>
          <w:highlight w:val="none"/>
        </w:rPr>
      </w:pPr>
      <w:r>
        <w:rPr>
          <w:rFonts w:hint="eastAsia" w:ascii="宋体" w:hAnsi="宋体" w:cs="宋体"/>
          <w:szCs w:val="24"/>
          <w:highlight w:val="none"/>
        </w:rPr>
        <w:t xml:space="preserve">1、此表合计总价与报价表须保持一致，否则以报价表价格为准。</w:t>
      </w:r>
      <w:r>
        <w:rPr>
          <w:rFonts w:hint="eastAsia" w:ascii="宋体" w:hAnsi="宋体" w:cs="宋体"/>
          <w:szCs w:val="24"/>
          <w:highlight w:val="none"/>
        </w:rPr>
      </w:r>
      <w:r/>
    </w:p>
    <w:p>
      <w:pPr>
        <w:pStyle w:val="1044"/>
        <w:ind w:firstLine="420"/>
        <w:rPr>
          <w:rFonts w:hint="eastAsia" w:ascii="宋体" w:hAnsi="宋体" w:cs="宋体"/>
          <w:szCs w:val="24"/>
          <w:highlight w:val="none"/>
        </w:rPr>
      </w:pPr>
      <w:r>
        <w:rPr>
          <w:rFonts w:hint="eastAsia" w:ascii="宋体" w:hAnsi="宋体" w:cs="宋体"/>
          <w:szCs w:val="24"/>
          <w:highlight w:val="none"/>
        </w:rPr>
        <w:t xml:space="preserve">2、磋商现场最后报价无需提交此明细表，可在领取成交通知书时补交。</w:t>
      </w:r>
      <w:r>
        <w:rPr>
          <w:rFonts w:hint="eastAsia" w:ascii="宋体" w:hAnsi="宋体" w:cs="宋体"/>
          <w:szCs w:val="24"/>
          <w:highlight w:val="none"/>
        </w:rPr>
      </w:r>
      <w:r/>
    </w:p>
    <w:p>
      <w:pPr>
        <w:pStyle w:val="1044"/>
        <w:ind w:firstLine="420"/>
        <w:rPr>
          <w:rFonts w:hint="eastAsia" w:ascii="宋体" w:hAnsi="宋体" w:cs="宋体"/>
          <w:szCs w:val="24"/>
          <w:highlight w:val="none"/>
        </w:rPr>
      </w:pPr>
      <w:r>
        <w:rPr>
          <w:rFonts w:hint="eastAsia" w:ascii="宋体" w:hAnsi="宋体" w:cs="宋体"/>
          <w:szCs w:val="24"/>
          <w:highlight w:val="none"/>
        </w:rPr>
        <w:t xml:space="preserve">3、响应单位须对全部采购内容进行分项明细列表报价（包括但不限于各单项服务单价报价）</w:t>
      </w:r>
      <w:r>
        <w:rPr>
          <w:rFonts w:hint="eastAsia" w:ascii="宋体" w:hAnsi="宋体" w:cs="宋体"/>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供应商：（公章）</w:t>
      </w:r>
      <w:r>
        <w:rPr>
          <w:rFonts w:ascii="宋体" w:hAnsi="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法定代表人或代理人：（签字或盖章）</w:t>
      </w:r>
      <w:r>
        <w:rPr>
          <w:rFonts w:ascii="宋体" w:hAnsi="宋体"/>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1018"/>
        <w:jc w:val="left"/>
        <w:spacing w:line="360" w:lineRule="auto"/>
        <w:rPr>
          <w:rFonts w:hint="eastAsia" w:hAnsi="宋体" w:eastAsia="宋体" w:cs="宋体"/>
          <w:b/>
          <w:sz w:val="24"/>
          <w:szCs w:val="24"/>
          <w:highlight w:val="none"/>
        </w:rPr>
      </w:pPr>
      <w:r>
        <w:rPr>
          <w:rFonts w:hint="eastAsia" w:hAnsi="宋体" w:eastAsia="宋体" w:cs="宋体"/>
          <w:b/>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highlight w:val="none"/>
        </w:rPr>
      </w:pPr>
      <w:r>
        <w:rPr>
          <w:rFonts w:hint="eastAsia"/>
          <w:highlight w:val="none"/>
        </w:rPr>
      </w:r>
      <w:r/>
    </w:p>
    <w:p>
      <w:pPr>
        <w:pStyle w:val="952"/>
        <w:ind w:left="0"/>
        <w:spacing w:line="360" w:lineRule="auto"/>
        <w:rPr>
          <w:rFonts w:hint="eastAsia" w:ascii="宋体" w:hAnsi="宋体"/>
          <w:b/>
          <w:szCs w:val="24"/>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b/>
          <w:szCs w:val="24"/>
          <w:highlight w:val="none"/>
        </w:rPr>
      </w:r>
      <w:r/>
    </w:p>
    <w:p>
      <w:pPr>
        <w:pStyle w:val="939"/>
        <w:spacing w:line="360" w:lineRule="auto"/>
        <w:widowControl/>
        <w:rPr>
          <w:rFonts w:hint="eastAsia" w:ascii="宋体" w:hAnsi="宋体" w:cs="宋体"/>
          <w:b/>
          <w:sz w:val="24"/>
          <w:szCs w:val="24"/>
          <w:highlight w:val="none"/>
        </w:rPr>
      </w:pPr>
      <w:r>
        <w:rPr>
          <w:rFonts w:hint="eastAsia" w:ascii="宋体" w:hAnsi="宋体"/>
          <w:b/>
          <w:szCs w:val="24"/>
          <w:highlight w:val="none"/>
        </w:rPr>
        <w:t xml:space="preserve">附件5、拟投入项目组人员一览表  </w:t>
      </w:r>
      <w:r>
        <w:rPr>
          <w:rFonts w:hint="eastAsia" w:ascii="宋体" w:hAnsi="宋体" w:cs="宋体"/>
          <w:b/>
          <w:sz w:val="24"/>
          <w:szCs w:val="24"/>
          <w:highlight w:val="none"/>
        </w:rPr>
      </w:r>
      <w:r/>
    </w:p>
    <w:p>
      <w:pPr>
        <w:pStyle w:val="939"/>
        <w:jc w:val="center"/>
        <w:spacing w:line="360" w:lineRule="auto"/>
        <w:widowControl/>
        <w:rPr>
          <w:rFonts w:hint="eastAsia" w:ascii="宋体" w:hAnsi="宋体"/>
          <w:b/>
          <w:szCs w:val="24"/>
          <w:highlight w:val="none"/>
        </w:rPr>
      </w:pPr>
      <w:r>
        <w:rPr>
          <w:rFonts w:hint="eastAsia" w:ascii="宋体" w:hAnsi="宋体"/>
          <w:b/>
          <w:szCs w:val="24"/>
          <w:highlight w:val="none"/>
        </w:rPr>
        <w:t xml:space="preserve">拟投入项目组人员一览表</w:t>
      </w:r>
      <w:r>
        <w:rPr>
          <w:rFonts w:hint="eastAsia" w:ascii="宋体" w:hAnsi="宋体"/>
          <w:b/>
          <w:szCs w:val="24"/>
          <w:highlight w:val="none"/>
        </w:rPr>
      </w:r>
      <w:r/>
    </w:p>
    <w:p>
      <w:pPr>
        <w:pStyle w:val="939"/>
        <w:rPr>
          <w:rFonts w:hint="eastAsia"/>
          <w:highlight w:val="none"/>
        </w:rPr>
      </w:pPr>
      <w:r>
        <w:rPr>
          <w:rFonts w:hint="eastAsia"/>
          <w:highlight w:val="none"/>
        </w:rPr>
        <w:t xml:space="preserve">标段号：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113"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在本项目中负责的岗位（按照采购要求填写）</w:t>
            </w:r>
            <w:r>
              <w:rPr>
                <w:rFonts w:hint="eastAsia" w:ascii="宋体" w:hAnsi="宋体"/>
                <w:sz w:val="24"/>
                <w:szCs w:val="24"/>
                <w:highlight w:val="none"/>
              </w:rPr>
            </w:r>
            <w:r/>
          </w:p>
        </w:tc>
        <w:tc>
          <w:tcPr>
            <w:tcW w:w="601"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姓名</w:t>
            </w:r>
            <w:r>
              <w:rPr>
                <w:rFonts w:hint="eastAsia" w:ascii="宋体" w:hAnsi="宋体"/>
                <w:sz w:val="24"/>
                <w:szCs w:val="24"/>
                <w:highlight w:val="none"/>
              </w:rPr>
            </w:r>
            <w:r/>
          </w:p>
        </w:tc>
        <w:tc>
          <w:tcPr>
            <w:tcW w:w="601"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性别</w:t>
            </w:r>
            <w:r>
              <w:rPr>
                <w:rFonts w:hint="eastAsia" w:ascii="宋体" w:hAnsi="宋体"/>
                <w:sz w:val="24"/>
                <w:szCs w:val="24"/>
                <w:highlight w:val="none"/>
              </w:rPr>
            </w:r>
            <w:r/>
          </w:p>
        </w:tc>
        <w:tc>
          <w:tcPr>
            <w:tcW w:w="600"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年龄</w:t>
            </w:r>
            <w:r>
              <w:rPr>
                <w:rFonts w:hint="eastAsia" w:ascii="宋体" w:hAnsi="宋体"/>
                <w:sz w:val="24"/>
                <w:szCs w:val="24"/>
                <w:highlight w:val="none"/>
              </w:rPr>
            </w:r>
            <w:r/>
          </w:p>
        </w:tc>
        <w:tc>
          <w:tcPr>
            <w:tcW w:w="1352"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从事本技术领域年限</w:t>
            </w:r>
            <w:r>
              <w:rPr>
                <w:rFonts w:hint="eastAsia" w:ascii="宋体" w:hAnsi="宋体"/>
                <w:sz w:val="24"/>
                <w:szCs w:val="24"/>
                <w:highlight w:val="none"/>
              </w:rPr>
            </w:r>
            <w:r/>
          </w:p>
        </w:tc>
        <w:tc>
          <w:tcPr>
            <w:tcW w:w="2102"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资质及从业资历(按照采购要求填写是否满足)</w:t>
            </w:r>
            <w:r>
              <w:rPr>
                <w:rFonts w:hint="eastAsia" w:ascii="宋体" w:hAnsi="宋体"/>
                <w:sz w:val="24"/>
                <w:szCs w:val="24"/>
                <w:highlight w:val="none"/>
              </w:rPr>
            </w:r>
            <w:r/>
          </w:p>
        </w:tc>
        <w:tc>
          <w:tcPr>
            <w:tcW w:w="1502"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资质证书名称、等级、编号等</w:t>
            </w:r>
            <w:r>
              <w:rPr>
                <w:rFonts w:hint="eastAsia" w:ascii="宋体" w:hAnsi="宋体"/>
                <w:sz w:val="24"/>
                <w:szCs w:val="24"/>
                <w:highlight w:val="none"/>
              </w:rPr>
            </w:r>
            <w:r/>
          </w:p>
        </w:tc>
        <w:tc>
          <w:tcPr>
            <w:tcW w:w="713"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职称</w:t>
            </w: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r>
    </w:tbl>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响应供应商名称（公章）：</w:t>
      </w:r>
      <w:r>
        <w:rPr>
          <w:rFonts w:hint="eastAsia" w:ascii="宋体" w:hAnsi="宋体"/>
          <w:sz w:val="24"/>
          <w:szCs w:val="24"/>
          <w:highlight w:val="none"/>
        </w:rPr>
      </w:r>
      <w:r/>
    </w:p>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响应供应商法定代表人或委托代理人：（签字或盖章）   </w:t>
      </w:r>
      <w:r>
        <w:rPr>
          <w:rFonts w:hint="eastAsia" w:ascii="宋体" w:hAnsi="宋体"/>
          <w:sz w:val="24"/>
          <w:szCs w:val="24"/>
          <w:highlight w:val="none"/>
        </w:rPr>
      </w:r>
      <w:r/>
    </w:p>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日  期： </w:t>
      </w:r>
      <w:r>
        <w:rPr>
          <w:rFonts w:hint="eastAsia" w:ascii="宋体" w:hAnsi="宋体"/>
          <w:sz w:val="24"/>
          <w:szCs w:val="24"/>
          <w:highlight w:val="none"/>
        </w:rPr>
      </w:r>
      <w:r/>
    </w:p>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rPr>
          <w:rFonts w:hint="eastAsia" w:ascii="宋体" w:hAnsi="宋体"/>
          <w:sz w:val="24"/>
          <w:szCs w:val="24"/>
          <w:highlight w:val="none"/>
        </w:rPr>
      </w:r>
      <w:r/>
    </w:p>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2、本表后附采购文件中评审方法及评分标准中要求提供的其他证明材料。</w:t>
      </w:r>
      <w:r>
        <w:rPr>
          <w:rFonts w:hint="eastAsia" w:ascii="宋体" w:hAnsi="宋体"/>
          <w:sz w:val="24"/>
          <w:szCs w:val="24"/>
          <w:highlight w:val="none"/>
        </w:rPr>
      </w:r>
      <w:r/>
    </w:p>
    <w:p>
      <w:pPr>
        <w:pStyle w:val="942"/>
        <w:rPr>
          <w:rFonts w:hint="eastAsia" w:ascii="宋体" w:hAnsi="宋体"/>
          <w:szCs w:val="24"/>
          <w:highlight w:val="none"/>
        </w:rPr>
      </w:pPr>
      <w:r>
        <w:rPr>
          <w:rFonts w:hint="eastAsia" w:ascii="宋体" w:hAnsi="宋体"/>
          <w:szCs w:val="24"/>
          <w:highlight w:val="none"/>
        </w:rPr>
      </w:r>
      <w:r/>
    </w:p>
    <w:p>
      <w:pPr>
        <w:pStyle w:val="939"/>
        <w:rPr>
          <w:rFonts w:hint="eastAsia" w:ascii="宋体" w:hAnsi="宋体"/>
          <w:b/>
          <w:szCs w:val="24"/>
          <w:highlight w:val="none"/>
        </w:rPr>
      </w:pPr>
      <w:r>
        <w:rPr>
          <w:rFonts w:hint="eastAsia" w:ascii="宋体" w:hAnsi="宋体"/>
          <w:b/>
          <w:szCs w:val="24"/>
          <w:highlight w:val="none"/>
        </w:rPr>
      </w:r>
      <w:r/>
    </w:p>
    <w:p>
      <w:pPr>
        <w:pStyle w:val="942"/>
        <w:rPr>
          <w:rFonts w:hint="eastAsia" w:ascii="宋体" w:hAnsi="宋体"/>
          <w:szCs w:val="24"/>
          <w:highlight w:val="none"/>
        </w:rPr>
      </w:pPr>
      <w:r>
        <w:rPr>
          <w:rFonts w:hint="eastAsia" w:ascii="宋体" w:hAnsi="宋体"/>
          <w:szCs w:val="24"/>
          <w:highlight w:val="none"/>
        </w:rPr>
      </w:r>
      <w:r/>
    </w:p>
    <w:p>
      <w:pPr>
        <w:pStyle w:val="939"/>
        <w:rPr>
          <w:rFonts w:hint="eastAsia" w:ascii="宋体" w:hAnsi="宋体"/>
          <w:b/>
          <w:szCs w:val="24"/>
          <w:highlight w:val="none"/>
        </w:rPr>
      </w:pPr>
      <w:r>
        <w:rPr>
          <w:rFonts w:hint="eastAsia" w:ascii="宋体" w:hAnsi="宋体"/>
          <w:b/>
          <w:szCs w:val="24"/>
          <w:highlight w:val="none"/>
        </w:rPr>
      </w:r>
      <w:r/>
    </w:p>
    <w:p>
      <w:pPr>
        <w:pStyle w:val="942"/>
        <w:rPr>
          <w:rFonts w:hint="eastAsia" w:ascii="宋体" w:hAnsi="宋体"/>
          <w:szCs w:val="24"/>
          <w:highlight w:val="none"/>
        </w:rPr>
      </w:pPr>
      <w:r>
        <w:rPr>
          <w:rFonts w:hint="eastAsia" w:ascii="宋体" w:hAnsi="宋体"/>
          <w:szCs w:val="24"/>
          <w:highlight w:val="none"/>
        </w:rPr>
      </w:r>
      <w:r/>
    </w:p>
    <w:p>
      <w:pPr>
        <w:pStyle w:val="939"/>
        <w:rPr>
          <w:rFonts w:hint="eastAsia"/>
          <w:highlight w:val="none"/>
        </w:rPr>
      </w:pPr>
      <w:r>
        <w:rPr>
          <w:rFonts w:hint="eastAsia"/>
          <w:highlight w:val="none"/>
        </w:rPr>
      </w:r>
      <w:r/>
    </w:p>
    <w:p>
      <w:pPr>
        <w:pStyle w:val="939"/>
        <w:rPr>
          <w:rFonts w:hint="eastAsia" w:ascii="宋体" w:hAnsi="宋体"/>
          <w:b/>
          <w:szCs w:val="24"/>
          <w:highlight w:val="none"/>
        </w:rPr>
      </w:pPr>
      <w:r>
        <w:rPr>
          <w:rFonts w:hint="eastAsia" w:ascii="宋体" w:hAnsi="宋体"/>
          <w:b/>
          <w:szCs w:val="24"/>
          <w:highlight w:val="none"/>
        </w:rPr>
      </w:r>
      <w:r/>
    </w:p>
    <w:p>
      <w:pPr>
        <w:pStyle w:val="939"/>
        <w:spacing w:line="360" w:lineRule="auto"/>
        <w:widowControl/>
        <w:rPr>
          <w:rFonts w:hint="eastAsia" w:ascii="宋体" w:hAnsi="宋体"/>
          <w:b/>
          <w:sz w:val="24"/>
          <w:szCs w:val="24"/>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b/>
          <w:sz w:val="24"/>
          <w:szCs w:val="24"/>
          <w:highlight w:val="none"/>
        </w:rPr>
      </w:r>
      <w:r/>
    </w:p>
    <w:p>
      <w:pPr>
        <w:pStyle w:val="939"/>
        <w:spacing w:line="360" w:lineRule="auto"/>
        <w:widowControl/>
        <w:rPr>
          <w:rFonts w:hint="eastAsia" w:ascii="宋体" w:hAnsi="宋体"/>
          <w:b/>
          <w:sz w:val="24"/>
          <w:szCs w:val="24"/>
          <w:highlight w:val="none"/>
        </w:rPr>
      </w:pPr>
      <w:r>
        <w:rPr>
          <w:rFonts w:hint="eastAsia" w:ascii="宋体" w:hAnsi="宋体"/>
          <w:b/>
          <w:sz w:val="24"/>
          <w:szCs w:val="24"/>
          <w:highlight w:val="none"/>
        </w:rPr>
        <w:t xml:space="preserve">附件6、拟投入本项目的项目负责人简历表</w:t>
      </w:r>
      <w:r>
        <w:rPr>
          <w:rFonts w:hint="eastAsia" w:ascii="宋体" w:hAnsi="宋体"/>
          <w:b/>
          <w:sz w:val="24"/>
          <w:szCs w:val="24"/>
          <w:highlight w:val="none"/>
        </w:rPr>
      </w:r>
      <w:r/>
    </w:p>
    <w:p>
      <w:pPr>
        <w:pStyle w:val="939"/>
        <w:rPr>
          <w:rFonts w:hint="eastAsia"/>
          <w:highlight w:val="none"/>
        </w:rPr>
      </w:pPr>
      <w:r>
        <w:rPr>
          <w:rFonts w:hint="eastAsia" w:ascii="宋体" w:hAnsi="宋体"/>
          <w:szCs w:val="24"/>
          <w:highlight w:val="none"/>
        </w:rPr>
        <w:t xml:space="preserve">标段号：</w:t>
      </w:r>
      <w:r>
        <w:rPr>
          <w:rFonts w:hint="eastAsia"/>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9"/>
        <w:gridCol w:w="18"/>
        <w:gridCol w:w="1220"/>
        <w:gridCol w:w="709"/>
        <w:gridCol w:w="375"/>
        <w:gridCol w:w="1086"/>
        <w:gridCol w:w="1194"/>
        <w:gridCol w:w="357"/>
        <w:gridCol w:w="2696"/>
      </w:tblGrid>
      <w:tr>
        <w:trPr>
          <w:cantSplit/>
          <w:trHeight w:val="389"/>
        </w:trPr>
        <w:tc>
          <w:tcPr>
            <w:tcW w:w="1223"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姓  名</w:t>
            </w:r>
            <w:r>
              <w:rPr>
                <w:rFonts w:hint="eastAsia" w:ascii="宋体" w:hAnsi="宋体"/>
                <w:sz w:val="24"/>
                <w:szCs w:val="24"/>
                <w:highlight w:val="none"/>
              </w:rPr>
            </w:r>
            <w:r/>
          </w:p>
        </w:tc>
        <w:tc>
          <w:tcPr>
            <w:gridSpan w:val="2"/>
            <w:tcW w:w="123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1084"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性 别</w:t>
            </w:r>
            <w:r>
              <w:rPr>
                <w:rFonts w:hint="eastAsia" w:ascii="宋体" w:hAnsi="宋体"/>
                <w:sz w:val="24"/>
                <w:szCs w:val="24"/>
                <w:highlight w:val="none"/>
              </w:rPr>
            </w:r>
            <w:r/>
          </w:p>
        </w:tc>
        <w:tc>
          <w:tcPr>
            <w:tcW w:w="535"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1551"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出生日期</w:t>
            </w:r>
            <w:r>
              <w:rPr>
                <w:rFonts w:hint="eastAsia" w:ascii="宋体" w:hAnsi="宋体"/>
                <w:sz w:val="24"/>
                <w:szCs w:val="24"/>
                <w:highlight w:val="none"/>
              </w:rPr>
            </w:r>
            <w:r/>
          </w:p>
        </w:tc>
        <w:tc>
          <w:tcPr>
            <w:tcW w:w="132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50"/>
        </w:trPr>
        <w:tc>
          <w:tcPr>
            <w:tcW w:w="1223"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毕业院校</w:t>
            </w:r>
            <w:r>
              <w:rPr>
                <w:rFonts w:hint="eastAsia" w:ascii="宋体" w:hAnsi="宋体"/>
                <w:sz w:val="24"/>
                <w:szCs w:val="24"/>
                <w:highlight w:val="none"/>
              </w:rPr>
            </w:r>
            <w:r/>
          </w:p>
        </w:tc>
        <w:tc>
          <w:tcPr>
            <w:gridSpan w:val="5"/>
            <w:tcW w:w="340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1551" w:type="dxa"/>
            <w:vAlign w:val="center"/>
            <w:textDirection w:val="lrTb"/>
            <w:noWrap w:val="false"/>
          </w:tcPr>
          <w:p>
            <w:pPr>
              <w:pStyle w:val="939"/>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毕业时间</w:t>
            </w:r>
            <w:r>
              <w:rPr>
                <w:rFonts w:hint="eastAsia" w:ascii="宋体" w:hAnsi="宋体"/>
                <w:sz w:val="24"/>
                <w:szCs w:val="24"/>
                <w:highlight w:val="none"/>
              </w:rPr>
            </w:r>
            <w:r/>
          </w:p>
        </w:tc>
        <w:tc>
          <w:tcPr>
            <w:tcW w:w="132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56"/>
        </w:trPr>
        <w:tc>
          <w:tcPr>
            <w:tcW w:w="1223"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专业</w:t>
            </w:r>
            <w:r>
              <w:rPr>
                <w:rFonts w:hint="eastAsia" w:ascii="宋体" w:hAnsi="宋体"/>
                <w:sz w:val="24"/>
                <w:szCs w:val="24"/>
                <w:highlight w:val="none"/>
              </w:rPr>
            </w:r>
            <w:r/>
          </w:p>
        </w:tc>
        <w:tc>
          <w:tcPr>
            <w:gridSpan w:val="3"/>
            <w:tcW w:w="1947"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4"/>
            <w:tcW w:w="3012"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从事本专业时间</w:t>
            </w:r>
            <w:r>
              <w:rPr>
                <w:rFonts w:hint="eastAsia" w:ascii="宋体" w:hAnsi="宋体"/>
                <w:sz w:val="24"/>
                <w:szCs w:val="24"/>
                <w:highlight w:val="none"/>
              </w:rPr>
            </w:r>
            <w:r/>
          </w:p>
        </w:tc>
        <w:tc>
          <w:tcPr>
            <w:tcW w:w="132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49"/>
        </w:trPr>
        <w:tc>
          <w:tcPr>
            <w:tcW w:w="1223"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职务</w:t>
            </w:r>
            <w:r>
              <w:rPr>
                <w:rFonts w:hint="eastAsia" w:ascii="宋体" w:hAnsi="宋体"/>
                <w:sz w:val="24"/>
                <w:szCs w:val="24"/>
                <w:highlight w:val="none"/>
              </w:rPr>
            </w:r>
            <w:r/>
          </w:p>
        </w:tc>
        <w:tc>
          <w:tcPr>
            <w:gridSpan w:val="3"/>
            <w:tcW w:w="1947"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4"/>
            <w:tcW w:w="3012"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职称</w:t>
            </w:r>
            <w:r>
              <w:rPr>
                <w:rFonts w:hint="eastAsia" w:ascii="宋体" w:hAnsi="宋体"/>
                <w:sz w:val="24"/>
                <w:szCs w:val="24"/>
                <w:highlight w:val="none"/>
              </w:rPr>
            </w:r>
            <w:r/>
          </w:p>
        </w:tc>
        <w:tc>
          <w:tcPr>
            <w:tcW w:w="1328"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49"/>
        </w:trPr>
        <w:tc>
          <w:tcPr>
            <w:tcW w:w="1223"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执业资格</w:t>
            </w:r>
            <w:r>
              <w:rPr>
                <w:rFonts w:hint="eastAsia" w:ascii="宋体" w:hAnsi="宋体"/>
                <w:sz w:val="24"/>
                <w:szCs w:val="24"/>
                <w:highlight w:val="none"/>
              </w:rPr>
            </w:r>
            <w:r/>
          </w:p>
        </w:tc>
        <w:tc>
          <w:tcPr>
            <w:gridSpan w:val="8"/>
            <w:tcW w:w="7655" w:type="dxa"/>
            <w:vAlign w:val="center"/>
            <w:textDirection w:val="lrTb"/>
            <w:noWrap w:val="false"/>
          </w:tcPr>
          <w:p>
            <w:pPr>
              <w:pStyle w:val="939"/>
              <w:ind w:firstLine="660"/>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469"/>
        </w:trPr>
        <w:tc>
          <w:tcPr>
            <w:gridSpan w:val="9"/>
            <w:tcW w:w="10134"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                          主  要  经  历</w:t>
            </w:r>
            <w:r>
              <w:rPr>
                <w:rFonts w:hint="eastAsia" w:ascii="宋体" w:hAnsi="宋体"/>
                <w:sz w:val="24"/>
                <w:szCs w:val="24"/>
                <w:highlight w:val="none"/>
              </w:rPr>
            </w:r>
            <w:r/>
          </w:p>
        </w:tc>
      </w:tr>
      <w:tr>
        <w:trPr>
          <w:trHeight w:val="461"/>
        </w:trPr>
        <w:tc>
          <w:tcPr>
            <w:gridSpan w:val="2"/>
            <w:tcW w:w="2497"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t xml:space="preserve">时   间</w:t>
            </w:r>
            <w:r>
              <w:rPr>
                <w:rFonts w:hint="eastAsia" w:ascii="宋体" w:hAnsi="宋体"/>
                <w:sz w:val="24"/>
                <w:szCs w:val="24"/>
                <w:highlight w:val="none"/>
              </w:rPr>
            </w:r>
            <w:r/>
          </w:p>
        </w:tc>
        <w:tc>
          <w:tcPr>
            <w:gridSpan w:val="5"/>
            <w:tcW w:w="4584" w:type="dxa"/>
            <w:vAlign w:val="center"/>
            <w:textDirection w:val="lrTb"/>
            <w:noWrap w:val="false"/>
          </w:tcPr>
          <w:p>
            <w:pPr>
              <w:pStyle w:val="939"/>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 参加过的项目名称及规模</w:t>
            </w:r>
            <w:r>
              <w:rPr>
                <w:rFonts w:hint="eastAsia" w:ascii="宋体" w:hAnsi="宋体"/>
                <w:sz w:val="24"/>
                <w:szCs w:val="24"/>
                <w:highlight w:val="none"/>
              </w:rPr>
            </w:r>
            <w:r/>
          </w:p>
        </w:tc>
        <w:tc>
          <w:tcPr>
            <w:gridSpan w:val="2"/>
            <w:tcW w:w="3053" w:type="dxa"/>
            <w:vAlign w:val="center"/>
            <w:textDirection w:val="lrTb"/>
            <w:noWrap w:val="false"/>
          </w:tcPr>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 该项目中任职</w:t>
            </w:r>
            <w:r>
              <w:rPr>
                <w:rFonts w:hint="eastAsia" w:ascii="宋体" w:hAnsi="宋体"/>
                <w:sz w:val="24"/>
                <w:szCs w:val="24"/>
                <w:highlight w:val="none"/>
              </w:rPr>
            </w:r>
            <w:r/>
          </w:p>
        </w:tc>
      </w:tr>
      <w:tr>
        <w:trPr>
          <w:trHeight w:val="461"/>
        </w:trPr>
        <w:tc>
          <w:tcPr>
            <w:gridSpan w:val="2"/>
            <w:tcW w:w="2497"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5"/>
            <w:tcW w:w="4584" w:type="dxa"/>
            <w:vAlign w:val="center"/>
            <w:textDirection w:val="lrTb"/>
            <w:noWrap w:val="false"/>
          </w:tcPr>
          <w:p>
            <w:pPr>
              <w:pStyle w:val="939"/>
              <w:ind w:firstLine="42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3053" w:type="dxa"/>
            <w:vAlign w:val="center"/>
            <w:textDirection w:val="lrTb"/>
            <w:noWrap w:val="false"/>
          </w:tcPr>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61"/>
        </w:trPr>
        <w:tc>
          <w:tcPr>
            <w:gridSpan w:val="2"/>
            <w:tcW w:w="2497"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5"/>
            <w:tcW w:w="4584" w:type="dxa"/>
            <w:vAlign w:val="center"/>
            <w:textDirection w:val="lrTb"/>
            <w:noWrap w:val="false"/>
          </w:tcPr>
          <w:p>
            <w:pPr>
              <w:pStyle w:val="939"/>
              <w:ind w:firstLine="42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3053" w:type="dxa"/>
            <w:vAlign w:val="center"/>
            <w:textDirection w:val="lrTb"/>
            <w:noWrap w:val="false"/>
          </w:tcPr>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61"/>
        </w:trPr>
        <w:tc>
          <w:tcPr>
            <w:gridSpan w:val="2"/>
            <w:tcW w:w="2497"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5"/>
            <w:tcW w:w="4584" w:type="dxa"/>
            <w:vAlign w:val="center"/>
            <w:textDirection w:val="lrTb"/>
            <w:noWrap w:val="false"/>
          </w:tcPr>
          <w:p>
            <w:pPr>
              <w:pStyle w:val="939"/>
              <w:ind w:firstLine="42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3053" w:type="dxa"/>
            <w:vAlign w:val="center"/>
            <w:textDirection w:val="lrTb"/>
            <w:noWrap w:val="false"/>
          </w:tcPr>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r>
            <w:r/>
          </w:p>
        </w:tc>
      </w:tr>
      <w:tr>
        <w:trPr>
          <w:trHeight w:val="461"/>
        </w:trPr>
        <w:tc>
          <w:tcPr>
            <w:gridSpan w:val="2"/>
            <w:tcW w:w="2497" w:type="dxa"/>
            <w:vAlign w:val="center"/>
            <w:textDirection w:val="lrTb"/>
            <w:noWrap w:val="false"/>
          </w:tcPr>
          <w:p>
            <w:pPr>
              <w:pStyle w:val="939"/>
              <w:ind w:firstLine="66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5"/>
            <w:tcW w:w="4584" w:type="dxa"/>
            <w:vAlign w:val="center"/>
            <w:textDirection w:val="lrTb"/>
            <w:noWrap w:val="false"/>
          </w:tcPr>
          <w:p>
            <w:pPr>
              <w:pStyle w:val="939"/>
              <w:ind w:firstLine="42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3053" w:type="dxa"/>
            <w:vAlign w:val="center"/>
            <w:textDirection w:val="lrTb"/>
            <w:noWrap w:val="false"/>
          </w:tcPr>
          <w:p>
            <w:pPr>
              <w:pStyle w:val="939"/>
              <w:ind w:firstLine="480"/>
              <w:spacing w:line="360" w:lineRule="auto"/>
              <w:rPr>
                <w:rFonts w:hint="eastAsia" w:ascii="宋体" w:hAnsi="宋体"/>
                <w:sz w:val="24"/>
                <w:szCs w:val="24"/>
                <w:highlight w:val="none"/>
              </w:rPr>
            </w:pPr>
            <w:r>
              <w:rPr>
                <w:rFonts w:hint="eastAsia" w:ascii="宋体" w:hAnsi="宋体"/>
                <w:sz w:val="24"/>
                <w:szCs w:val="24"/>
                <w:highlight w:val="none"/>
              </w:rPr>
            </w:r>
            <w:r/>
          </w:p>
        </w:tc>
      </w:tr>
    </w:tbl>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注：本表后附采购文件中评审方法及评分标准中要求提供的其他证明材料。</w:t>
      </w:r>
      <w:r>
        <w:rPr>
          <w:rFonts w:hint="eastAsia" w:ascii="宋体" w:hAnsi="宋体"/>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响应供应商：（单位全称） (盖章)                </w:t>
      </w:r>
      <w:r>
        <w:rPr>
          <w:rFonts w:hint="eastAsia" w:ascii="宋体" w:hAnsi="宋体"/>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法定代表人或委托代理人：  (签章)                </w:t>
      </w:r>
      <w:r>
        <w:rPr>
          <w:rFonts w:hint="eastAsia" w:ascii="宋体" w:hAnsi="宋体"/>
          <w:sz w:val="24"/>
          <w:szCs w:val="24"/>
          <w:highlight w:val="none"/>
        </w:rPr>
      </w:r>
      <w:r/>
    </w:p>
    <w:p>
      <w:pPr>
        <w:pStyle w:val="939"/>
        <w:spacing w:line="360" w:lineRule="auto"/>
        <w:widowControl/>
        <w:rPr>
          <w:rFonts w:hint="eastAsia" w:ascii="宋体" w:hAnsi="宋体" w:cs="宋体"/>
          <w:b/>
          <w:sz w:val="24"/>
          <w:szCs w:val="24"/>
          <w:highlight w:val="none"/>
        </w:rPr>
      </w:pPr>
      <w:r>
        <w:rPr>
          <w:rFonts w:hint="eastAsia" w:ascii="宋体" w:hAnsi="宋体"/>
          <w:sz w:val="24"/>
          <w:szCs w:val="24"/>
          <w:highlight w:val="none"/>
        </w:rPr>
        <w:t xml:space="preserve">日    期：</w:t>
      </w: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rPr>
          <w:rFonts w:hint="eastAsia" w:ascii="宋体" w:hAnsi="宋体" w:cs="宋体"/>
          <w:b/>
          <w:sz w:val="24"/>
          <w:szCs w:val="24"/>
          <w:highlight w:val="none"/>
        </w:rPr>
      </w:pPr>
      <w:r>
        <w:rPr>
          <w:rFonts w:hint="eastAsia" w:ascii="宋体" w:hAnsi="宋体" w:cs="宋体"/>
          <w:b/>
          <w:sz w:val="24"/>
          <w:szCs w:val="24"/>
          <w:highlight w:val="none"/>
        </w:rPr>
      </w:r>
      <w:r/>
    </w:p>
    <w:p>
      <w:pPr>
        <w:pStyle w:val="942"/>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39"/>
        <w:spacing w:line="360" w:lineRule="auto"/>
        <w:widowControl/>
        <w:rPr>
          <w:rFonts w:hint="eastAsia" w:ascii="宋体" w:hAnsi="宋体"/>
          <w:b/>
          <w:sz w:val="24"/>
          <w:szCs w:val="24"/>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b/>
          <w:sz w:val="24"/>
          <w:szCs w:val="24"/>
          <w:highlight w:val="none"/>
        </w:rPr>
      </w:r>
      <w:r/>
    </w:p>
    <w:p>
      <w:pPr>
        <w:pStyle w:val="939"/>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rPr>
        <w:t xml:space="preserve">附件7、偏离表</w:t>
      </w:r>
      <w:r>
        <w:rPr>
          <w:rFonts w:hint="eastAsia" w:ascii="宋体" w:hAnsi="宋体" w:cs="宋体"/>
          <w:b/>
          <w:sz w:val="24"/>
          <w:szCs w:val="24"/>
          <w:highlight w:val="none"/>
        </w:rPr>
      </w:r>
      <w:r/>
    </w:p>
    <w:p>
      <w:pPr>
        <w:pStyle w:val="952"/>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服务要求偏离表</w:t>
      </w:r>
      <w:r>
        <w:rPr>
          <w:rFonts w:hint="eastAsia" w:ascii="宋体" w:hAnsi="宋体"/>
          <w:b/>
          <w:sz w:val="24"/>
          <w:szCs w:val="24"/>
          <w:highlight w:val="none"/>
        </w:rPr>
      </w:r>
      <w:r/>
    </w:p>
    <w:p>
      <w:pPr>
        <w:pStyle w:val="952"/>
        <w:ind w:left="0"/>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标段号：</w:t>
      </w:r>
      <w:r>
        <w:rPr>
          <w:rFonts w:hint="eastAsia" w:ascii="宋体" w:hAnsi="宋体"/>
          <w:b/>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13"/>
        <w:gridCol w:w="1912"/>
        <w:gridCol w:w="1981"/>
        <w:gridCol w:w="2172"/>
        <w:gridCol w:w="1967"/>
        <w:gridCol w:w="1289"/>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服务内容</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采购要求</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firstLine="241"/>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服务响应</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偏离/响应</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952"/>
              <w:ind w:left="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bl>
    <w:p>
      <w:pPr>
        <w:pStyle w:val="952"/>
        <w:ind w:left="0"/>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注：</w:t>
      </w:r>
      <w:r>
        <w:rPr>
          <w:rFonts w:hint="eastAsia" w:ascii="宋体" w:hAnsi="宋体"/>
          <w:b/>
          <w:sz w:val="24"/>
          <w:szCs w:val="24"/>
          <w:highlight w:val="none"/>
        </w:rPr>
      </w:r>
      <w:r/>
    </w:p>
    <w:p>
      <w:pPr>
        <w:pStyle w:val="952"/>
        <w:numPr>
          <w:ilvl w:val="0"/>
          <w:numId w:val="7"/>
        </w:numPr>
        <w:ind w:left="0"/>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响应单位应对照磋商文件服务要求等要求，所响应标的物与磋商文件的规定有偏离的，</w:t>
      </w:r>
      <w:r>
        <w:rPr>
          <w:rFonts w:hint="eastAsia" w:ascii="宋体" w:hAnsi="宋体"/>
          <w:b/>
          <w:sz w:val="24"/>
          <w:szCs w:val="24"/>
          <w:highlight w:val="none"/>
        </w:rPr>
      </w:r>
      <w:r/>
    </w:p>
    <w:p>
      <w:pPr>
        <w:pStyle w:val="952"/>
        <w:ind w:left="0"/>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应在此表中申明与服务要求条文的偏差和例外。</w:t>
      </w:r>
      <w:r>
        <w:rPr>
          <w:rFonts w:hint="eastAsia" w:ascii="宋体" w:hAnsi="宋体"/>
          <w:b/>
          <w:sz w:val="24"/>
          <w:szCs w:val="24"/>
          <w:highlight w:val="none"/>
        </w:rPr>
      </w:r>
      <w:r/>
    </w:p>
    <w:p>
      <w:pPr>
        <w:pStyle w:val="952"/>
        <w:numPr>
          <w:ilvl w:val="0"/>
          <w:numId w:val="7"/>
        </w:numPr>
        <w:ind w:left="0"/>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未在上表中说明的，如在响应文件其他内容中已有文字说明的，则以已有文字说明为准，</w:t>
      </w:r>
      <w:r>
        <w:rPr>
          <w:rFonts w:hint="eastAsia" w:ascii="宋体" w:hAnsi="宋体"/>
          <w:b/>
          <w:sz w:val="24"/>
          <w:szCs w:val="24"/>
          <w:highlight w:val="none"/>
        </w:rPr>
      </w:r>
      <w:r/>
    </w:p>
    <w:p>
      <w:pPr>
        <w:pStyle w:val="952"/>
        <w:ind w:left="0"/>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否则，将被认为完全响应磋商文件的规定。但该表不作为响应单位对所响应标的物关于服务</w:t>
      </w:r>
      <w:r>
        <w:rPr>
          <w:rFonts w:hint="eastAsia" w:ascii="宋体" w:hAnsi="宋体"/>
          <w:b/>
          <w:sz w:val="24"/>
          <w:szCs w:val="24"/>
          <w:highlight w:val="none"/>
        </w:rPr>
      </w:r>
      <w:r/>
    </w:p>
    <w:p>
      <w:pPr>
        <w:pStyle w:val="952"/>
        <w:ind w:left="0"/>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要求等详细描述和说明的替代。</w:t>
      </w:r>
      <w:r>
        <w:rPr>
          <w:rFonts w:hint="eastAsia" w:ascii="宋体" w:hAnsi="宋体"/>
          <w:b/>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供应商：（单位盖章）</w:t>
      </w:r>
      <w:r>
        <w:rPr>
          <w:rFonts w:hint="eastAsia" w:ascii="宋体" w:hAnsi="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法定代表人或代理人：（签字或盖章）</w:t>
      </w:r>
      <w:r>
        <w:rPr>
          <w:rFonts w:ascii="宋体" w:hAnsi="宋体"/>
          <w:sz w:val="24"/>
          <w:szCs w:val="24"/>
          <w:highlight w:val="none"/>
        </w:rPr>
      </w:r>
      <w:r/>
    </w:p>
    <w:p>
      <w:pPr>
        <w:pStyle w:val="952"/>
        <w:ind w:left="0"/>
        <w:spacing w:line="360" w:lineRule="auto"/>
        <w:rPr>
          <w:rFonts w:ascii="宋体" w:hAnsi="宋体"/>
          <w:szCs w:val="24"/>
          <w:highlight w:val="none"/>
        </w:rPr>
      </w:pPr>
      <w:r>
        <w:rPr>
          <w:rFonts w:hint="eastAsia" w:ascii="宋体" w:hAnsi="宋体"/>
          <w:szCs w:val="24"/>
          <w:highlight w:val="none"/>
        </w:rPr>
        <w:t xml:space="preserve">日期：</w:t>
      </w:r>
      <w:r>
        <w:rPr>
          <w:rFonts w:ascii="宋体" w:hAnsi="宋体"/>
          <w:szCs w:val="24"/>
          <w:highlight w:val="none"/>
        </w:rPr>
        <w:t xml:space="preserve">         </w:t>
      </w:r>
      <w:r>
        <w:rPr>
          <w:rFonts w:hint="eastAsia" w:ascii="宋体" w:hAnsi="宋体"/>
          <w:szCs w:val="24"/>
          <w:highlight w:val="none"/>
        </w:rPr>
        <w:t xml:space="preserve">年</w:t>
      </w:r>
      <w:r>
        <w:rPr>
          <w:rFonts w:ascii="宋体" w:hAnsi="宋体"/>
          <w:szCs w:val="24"/>
          <w:highlight w:val="none"/>
        </w:rPr>
        <w:t xml:space="preserve">         </w:t>
      </w:r>
      <w:r>
        <w:rPr>
          <w:rFonts w:hint="eastAsia" w:ascii="宋体" w:hAnsi="宋体"/>
          <w:szCs w:val="24"/>
          <w:highlight w:val="none"/>
        </w:rPr>
        <w:t xml:space="preserve">月</w:t>
      </w:r>
      <w:r>
        <w:rPr>
          <w:rFonts w:ascii="宋体" w:hAnsi="宋体"/>
          <w:szCs w:val="24"/>
          <w:highlight w:val="none"/>
        </w:rPr>
        <w:t xml:space="preserve">       </w:t>
      </w:r>
      <w:r>
        <w:rPr>
          <w:rFonts w:hint="eastAsia" w:ascii="宋体" w:hAnsi="宋体"/>
          <w:szCs w:val="24"/>
          <w:highlight w:val="none"/>
        </w:rPr>
        <w:t xml:space="preserve">日</w:t>
      </w:r>
      <w:r>
        <w:rPr>
          <w:rFonts w:ascii="宋体" w:hAnsi="宋体"/>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52"/>
        <w:jc w:val="center"/>
        <w:spacing w:line="360" w:lineRule="auto"/>
        <w:rPr>
          <w:rFonts w:hint="eastAsia" w:ascii="宋体" w:hAnsi="宋体"/>
          <w:b/>
          <w:szCs w:val="24"/>
          <w:highlight w:val="none"/>
        </w:rPr>
        <w:outlineLvl w:val="1"/>
      </w:pPr>
      <w:r>
        <w:rPr>
          <w:rFonts w:hint="eastAsia" w:ascii="宋体" w:hAnsi="宋体"/>
          <w:b/>
          <w:szCs w:val="24"/>
          <w:highlight w:val="none"/>
        </w:rPr>
      </w:r>
      <w:r/>
    </w:p>
    <w:p>
      <w:pPr>
        <w:pStyle w:val="939"/>
        <w:jc w:val="center"/>
        <w:rPr>
          <w:rFonts w:hint="eastAsia" w:ascii="宋体" w:hAnsi="宋体"/>
          <w:b/>
          <w:sz w:val="24"/>
          <w:szCs w:val="24"/>
          <w:highlight w:val="none"/>
        </w:rPr>
      </w:pPr>
      <w:r>
        <w:rPr>
          <w:rFonts w:hint="eastAsia" w:ascii="宋体" w:hAnsi="宋体"/>
          <w:b/>
          <w:sz w:val="24"/>
          <w:szCs w:val="24"/>
          <w:highlight w:val="none"/>
        </w:rPr>
      </w:r>
      <w:r/>
    </w:p>
    <w:p>
      <w:pPr>
        <w:pStyle w:val="952"/>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商务条款偏离表</w:t>
      </w:r>
      <w:r>
        <w:rPr>
          <w:rFonts w:hint="eastAsia" w:ascii="宋体" w:hAnsi="宋体"/>
          <w:b/>
          <w:sz w:val="24"/>
          <w:szCs w:val="24"/>
          <w:highlight w:val="none"/>
        </w:rPr>
      </w:r>
      <w:r/>
    </w:p>
    <w:p>
      <w:pPr>
        <w:pStyle w:val="952"/>
        <w:ind w:left="0"/>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标段号：</w:t>
      </w:r>
      <w:r>
        <w:rPr>
          <w:rFonts w:hint="eastAsia" w:ascii="宋体" w:hAnsi="宋体"/>
          <w:b/>
          <w:sz w:val="24"/>
          <w:szCs w:val="24"/>
          <w:highlight w:val="none"/>
        </w:rPr>
      </w:r>
      <w:r/>
    </w:p>
    <w:tbl>
      <w:tblPr>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99"/>
        <w:gridCol w:w="2192"/>
        <w:gridCol w:w="2060"/>
        <w:gridCol w:w="1766"/>
      </w:tblGrid>
      <w:tr>
        <w:trPr>
          <w:cantSplit/>
          <w:trHeight w:val="80"/>
          <w:tblHeader/>
        </w:trPr>
        <w:tc>
          <w:tcPr>
            <w:tcW w:w="403" w:type="dxa"/>
            <w:vAlign w:val="center"/>
            <w:textDirection w:val="lrTb"/>
            <w:noWrap w:val="false"/>
          </w:tcPr>
          <w:p>
            <w:pPr>
              <w:pStyle w:val="939"/>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序号</w:t>
            </w:r>
            <w:r>
              <w:rPr>
                <w:rFonts w:ascii="宋体" w:hAnsi="宋体"/>
                <w:b/>
                <w:bCs/>
                <w:sz w:val="24"/>
                <w:szCs w:val="24"/>
                <w:highlight w:val="none"/>
              </w:rPr>
            </w:r>
            <w:r/>
          </w:p>
        </w:tc>
        <w:tc>
          <w:tcPr>
            <w:tcW w:w="1627" w:type="dxa"/>
            <w:vAlign w:val="center"/>
            <w:textDirection w:val="lrTb"/>
            <w:noWrap w:val="false"/>
          </w:tcPr>
          <w:p>
            <w:pPr>
              <w:pStyle w:val="939"/>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磋商文件要求</w:t>
            </w:r>
            <w:r>
              <w:rPr>
                <w:rFonts w:ascii="宋体" w:hAnsi="宋体"/>
                <w:b/>
                <w:bCs/>
                <w:sz w:val="24"/>
                <w:szCs w:val="24"/>
                <w:highlight w:val="none"/>
              </w:rPr>
            </w:r>
            <w:r/>
          </w:p>
        </w:tc>
        <w:tc>
          <w:tcPr>
            <w:tcW w:w="1081" w:type="dxa"/>
            <w:vAlign w:val="center"/>
            <w:textDirection w:val="lrTb"/>
            <w:noWrap w:val="false"/>
          </w:tcPr>
          <w:p>
            <w:pPr>
              <w:pStyle w:val="939"/>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投标响应</w:t>
            </w:r>
            <w:r>
              <w:rPr>
                <w:rFonts w:ascii="宋体" w:hAnsi="宋体"/>
                <w:b/>
                <w:bCs/>
                <w:sz w:val="24"/>
                <w:szCs w:val="24"/>
                <w:highlight w:val="none"/>
              </w:rPr>
            </w:r>
            <w:r/>
          </w:p>
        </w:tc>
        <w:tc>
          <w:tcPr>
            <w:tcW w:w="1016" w:type="dxa"/>
            <w:vAlign w:val="center"/>
            <w:textDirection w:val="lrTb"/>
            <w:noWrap w:val="false"/>
          </w:tcPr>
          <w:p>
            <w:pPr>
              <w:pStyle w:val="939"/>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偏离说明</w:t>
            </w:r>
            <w:r>
              <w:rPr>
                <w:rFonts w:ascii="宋体" w:hAnsi="宋体"/>
                <w:b/>
                <w:bCs/>
                <w:sz w:val="24"/>
                <w:szCs w:val="24"/>
                <w:highlight w:val="none"/>
              </w:rPr>
            </w:r>
            <w:r/>
          </w:p>
        </w:tc>
        <w:tc>
          <w:tcPr>
            <w:tcW w:w="871" w:type="dxa"/>
            <w:vAlign w:val="center"/>
            <w:textDirection w:val="lrTb"/>
            <w:noWrap w:val="false"/>
          </w:tcPr>
          <w:p>
            <w:pPr>
              <w:pStyle w:val="939"/>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备注</w:t>
            </w:r>
            <w:r>
              <w:rPr>
                <w:rFonts w:ascii="宋体" w:hAnsi="宋体"/>
                <w:b/>
                <w:bCs/>
                <w:sz w:val="24"/>
                <w:szCs w:val="24"/>
                <w:highlight w:val="none"/>
              </w:rPr>
            </w:r>
            <w:r/>
          </w:p>
        </w:tc>
      </w:tr>
      <w:tr>
        <w:trPr>
          <w:cantSplit/>
          <w:trHeight w:val="80"/>
        </w:trPr>
        <w:tc>
          <w:tcPr>
            <w:tcW w:w="403" w:type="dxa"/>
            <w:vAlign w:val="top"/>
            <w:textDirection w:val="lrTb"/>
            <w:noWrap w:val="false"/>
          </w:tcPr>
          <w:p>
            <w:pPr>
              <w:pStyle w:val="939"/>
              <w:jc w:val="center"/>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r>
            <w:r/>
          </w:p>
        </w:tc>
        <w:tc>
          <w:tcPr>
            <w:tcW w:w="1627" w:type="dxa"/>
            <w:vAlign w:val="top"/>
            <w:textDirection w:val="lrTb"/>
            <w:noWrap w:val="false"/>
          </w:tcPr>
          <w:p>
            <w:pPr>
              <w:pStyle w:val="939"/>
              <w:spacing w:line="360" w:lineRule="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服务期限</w:t>
            </w:r>
            <w:r>
              <w:rPr>
                <w:rFonts w:ascii="宋体" w:hAnsi="宋体" w:cs="仿宋_GB2312"/>
                <w:sz w:val="24"/>
                <w:szCs w:val="24"/>
                <w:highlight w:val="none"/>
                <w:lang w:val="zh-CN"/>
              </w:rPr>
            </w:r>
            <w:r/>
          </w:p>
        </w:tc>
        <w:tc>
          <w:tcPr>
            <w:tcW w:w="108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39"/>
              <w:jc w:val="center"/>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r>
            <w:r/>
          </w:p>
        </w:tc>
        <w:tc>
          <w:tcPr>
            <w:tcW w:w="1627" w:type="dxa"/>
            <w:vAlign w:val="top"/>
            <w:textDirection w:val="lrTb"/>
            <w:noWrap w:val="false"/>
          </w:tcPr>
          <w:p>
            <w:pPr>
              <w:pStyle w:val="939"/>
              <w:spacing w:line="360" w:lineRule="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服务地点</w:t>
            </w:r>
            <w:r>
              <w:rPr>
                <w:rFonts w:ascii="宋体" w:hAnsi="宋体" w:cs="仿宋_GB2312"/>
                <w:sz w:val="24"/>
                <w:szCs w:val="24"/>
                <w:highlight w:val="none"/>
                <w:lang w:val="zh-CN"/>
              </w:rPr>
            </w:r>
            <w:r/>
          </w:p>
        </w:tc>
        <w:tc>
          <w:tcPr>
            <w:tcW w:w="108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39"/>
              <w:jc w:val="center"/>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r>
            <w:r/>
          </w:p>
        </w:tc>
        <w:tc>
          <w:tcPr>
            <w:tcW w:w="1627" w:type="dxa"/>
            <w:vAlign w:val="top"/>
            <w:textDirection w:val="lrTb"/>
            <w:noWrap w:val="false"/>
          </w:tcPr>
          <w:p>
            <w:pPr>
              <w:pStyle w:val="939"/>
              <w:spacing w:line="360" w:lineRule="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付款方式</w:t>
            </w:r>
            <w:r>
              <w:rPr>
                <w:rFonts w:ascii="宋体" w:hAnsi="宋体" w:cs="仿宋_GB2312"/>
                <w:sz w:val="24"/>
                <w:szCs w:val="24"/>
                <w:highlight w:val="none"/>
                <w:lang w:val="zh-CN"/>
              </w:rPr>
            </w:r>
            <w:r/>
          </w:p>
        </w:tc>
        <w:tc>
          <w:tcPr>
            <w:tcW w:w="108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39"/>
              <w:jc w:val="center"/>
              <w:spacing w:line="360" w:lineRule="auto"/>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r>
            <w:r/>
          </w:p>
        </w:tc>
        <w:tc>
          <w:tcPr>
            <w:tcW w:w="1627" w:type="dxa"/>
            <w:vAlign w:val="top"/>
            <w:textDirection w:val="lrTb"/>
            <w:noWrap w:val="false"/>
          </w:tcPr>
          <w:p>
            <w:pPr>
              <w:pStyle w:val="939"/>
              <w:spacing w:line="360" w:lineRule="auto"/>
              <w:rPr>
                <w:rFonts w:ascii="宋体" w:hAnsi="宋体"/>
                <w:bCs/>
                <w:sz w:val="24"/>
                <w:szCs w:val="24"/>
                <w:highlight w:val="none"/>
              </w:rPr>
            </w:pPr>
            <w:r>
              <w:rPr>
                <w:rFonts w:hint="eastAsia" w:ascii="宋体" w:hAnsi="宋体" w:cs="仿宋_GB2312"/>
                <w:sz w:val="24"/>
                <w:szCs w:val="24"/>
                <w:highlight w:val="none"/>
                <w:lang w:val="zh-CN"/>
              </w:rPr>
              <w:t xml:space="preserve">其他商务要求</w:t>
            </w:r>
            <w:r>
              <w:rPr>
                <w:rFonts w:ascii="宋体" w:hAnsi="宋体"/>
                <w:bCs/>
                <w:sz w:val="24"/>
                <w:szCs w:val="24"/>
                <w:highlight w:val="none"/>
              </w:rPr>
            </w:r>
            <w:r/>
          </w:p>
        </w:tc>
        <w:tc>
          <w:tcPr>
            <w:tcW w:w="1081" w:type="dxa"/>
            <w:vAlign w:val="top"/>
            <w:textDirection w:val="lrTb"/>
            <w:noWrap w:val="false"/>
          </w:tcPr>
          <w:p>
            <w:pPr>
              <w:pStyle w:val="939"/>
              <w:spacing w:line="360" w:lineRule="auto"/>
              <w:rPr>
                <w:rFonts w:ascii="宋体" w:hAnsi="宋体"/>
                <w:bCs/>
                <w:sz w:val="24"/>
                <w:szCs w:val="24"/>
                <w:highlight w:val="none"/>
              </w:rPr>
            </w:pPr>
            <w:r>
              <w:rPr>
                <w:rFonts w:ascii="宋体" w:hAnsi="宋体"/>
                <w:bCs/>
                <w:sz w:val="24"/>
                <w:szCs w:val="24"/>
                <w:highlight w:val="none"/>
              </w:rPr>
            </w:r>
            <w:r/>
          </w:p>
        </w:tc>
        <w:tc>
          <w:tcPr>
            <w:tcW w:w="1016"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39"/>
              <w:jc w:val="center"/>
              <w:spacing w:line="360" w:lineRule="auto"/>
              <w:rPr>
                <w:rFonts w:ascii="宋体" w:hAnsi="宋体"/>
                <w:bCs/>
                <w:sz w:val="24"/>
                <w:szCs w:val="24"/>
                <w:highlight w:val="none"/>
              </w:rPr>
            </w:pPr>
            <w:r>
              <w:rPr>
                <w:rFonts w:ascii="宋体" w:hAnsi="宋体"/>
                <w:bCs/>
                <w:sz w:val="24"/>
                <w:szCs w:val="24"/>
                <w:highlight w:val="none"/>
              </w:rPr>
            </w:r>
            <w:r/>
          </w:p>
        </w:tc>
        <w:tc>
          <w:tcPr>
            <w:tcW w:w="1627" w:type="dxa"/>
            <w:vAlign w:val="top"/>
            <w:textDirection w:val="lrTb"/>
            <w:noWrap w:val="false"/>
          </w:tcPr>
          <w:p>
            <w:pPr>
              <w:pStyle w:val="939"/>
              <w:spacing w:line="360" w:lineRule="auto"/>
              <w:rPr>
                <w:rFonts w:ascii="宋体" w:hAnsi="宋体"/>
                <w:bCs/>
                <w:sz w:val="24"/>
                <w:szCs w:val="24"/>
                <w:highlight w:val="none"/>
              </w:rPr>
            </w:pPr>
            <w:r>
              <w:rPr>
                <w:rFonts w:ascii="宋体" w:hAnsi="宋体"/>
                <w:bCs/>
                <w:sz w:val="24"/>
                <w:szCs w:val="24"/>
                <w:highlight w:val="none"/>
              </w:rPr>
            </w:r>
            <w:r/>
          </w:p>
        </w:tc>
        <w:tc>
          <w:tcPr>
            <w:tcW w:w="108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39"/>
              <w:spacing w:line="360" w:lineRule="auto"/>
              <w:rPr>
                <w:rFonts w:ascii="宋体" w:hAnsi="宋体"/>
                <w:sz w:val="24"/>
                <w:szCs w:val="24"/>
                <w:highlight w:val="none"/>
              </w:rPr>
            </w:pPr>
            <w:r>
              <w:rPr>
                <w:rFonts w:ascii="宋体" w:hAnsi="宋体"/>
                <w:sz w:val="24"/>
                <w:szCs w:val="24"/>
                <w:highlight w:val="none"/>
              </w:rPr>
            </w:r>
            <w:r/>
          </w:p>
        </w:tc>
      </w:tr>
    </w:tbl>
    <w:p>
      <w:pPr>
        <w:pStyle w:val="952"/>
        <w:ind w:left="0"/>
        <w:spacing w:line="360" w:lineRule="auto"/>
        <w:rPr>
          <w:rFonts w:hint="eastAsia" w:ascii="宋体" w:hAnsi="宋体"/>
          <w:b/>
          <w:sz w:val="24"/>
          <w:szCs w:val="24"/>
          <w:highlight w:val="none"/>
        </w:rPr>
        <w:outlineLvl w:val="1"/>
      </w:pPr>
      <w:r>
        <w:rPr>
          <w:rFonts w:hint="eastAsia" w:ascii="宋体" w:hAnsi="宋体"/>
          <w:b/>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rPr>
          <w:rFonts w:hint="eastAsia" w:ascii="宋体" w:hAnsi="宋体"/>
          <w:b/>
          <w:sz w:val="24"/>
          <w:szCs w:val="24"/>
          <w:highlight w:val="none"/>
        </w:rPr>
      </w:r>
      <w:r/>
    </w:p>
    <w:p>
      <w:pPr>
        <w:pStyle w:val="952"/>
        <w:spacing w:line="360" w:lineRule="auto"/>
        <w:rPr>
          <w:rFonts w:hint="eastAsia" w:ascii="宋体" w:hAnsi="宋体"/>
          <w:b/>
          <w:szCs w:val="24"/>
          <w:highlight w:val="none"/>
        </w:rPr>
        <w:outlineLvl w:val="1"/>
      </w:pPr>
      <w:r>
        <w:rPr>
          <w:rFonts w:hint="eastAsia" w:ascii="宋体" w:hAnsi="宋体"/>
          <w:b/>
          <w:szCs w:val="24"/>
          <w:highlight w:val="none"/>
        </w:rPr>
      </w:r>
      <w:r/>
    </w:p>
    <w:p>
      <w:pPr>
        <w:pStyle w:val="939"/>
        <w:spacing w:line="360" w:lineRule="auto"/>
        <w:rPr>
          <w:rFonts w:hint="eastAsia" w:ascii="宋体" w:hAnsi="宋体"/>
          <w:sz w:val="24"/>
          <w:szCs w:val="24"/>
          <w:highlight w:val="none"/>
        </w:rPr>
      </w:pPr>
      <w:r>
        <w:rPr>
          <w:rFonts w:hint="eastAsia" w:ascii="宋体" w:hAnsi="宋体"/>
          <w:sz w:val="24"/>
          <w:szCs w:val="24"/>
          <w:highlight w:val="none"/>
        </w:rPr>
        <w:t xml:space="preserve">供应商：（单位盖章）</w:t>
      </w:r>
      <w:r>
        <w:rPr>
          <w:rFonts w:hint="eastAsia" w:ascii="宋体" w:hAnsi="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法定代表人或代理人：（签字或盖章）</w:t>
      </w:r>
      <w:r>
        <w:rPr>
          <w:rFonts w:ascii="宋体" w:hAnsi="宋体"/>
          <w:sz w:val="24"/>
          <w:szCs w:val="24"/>
          <w:highlight w:val="none"/>
        </w:rPr>
      </w:r>
      <w:r/>
    </w:p>
    <w:p>
      <w:pPr>
        <w:pStyle w:val="952"/>
        <w:ind w:left="0"/>
        <w:spacing w:line="360" w:lineRule="auto"/>
        <w:rPr>
          <w:rFonts w:ascii="宋体" w:hAnsi="宋体"/>
          <w:szCs w:val="24"/>
          <w:highlight w:val="none"/>
        </w:rPr>
      </w:pPr>
      <w:r>
        <w:rPr>
          <w:rFonts w:hint="eastAsia" w:ascii="宋体" w:hAnsi="宋体"/>
          <w:szCs w:val="24"/>
          <w:highlight w:val="none"/>
        </w:rPr>
        <w:t xml:space="preserve">日期：</w:t>
      </w:r>
      <w:r>
        <w:rPr>
          <w:rFonts w:ascii="宋体" w:hAnsi="宋体"/>
          <w:szCs w:val="24"/>
          <w:highlight w:val="none"/>
        </w:rPr>
        <w:t xml:space="preserve">         </w:t>
      </w:r>
      <w:r>
        <w:rPr>
          <w:rFonts w:hint="eastAsia" w:ascii="宋体" w:hAnsi="宋体"/>
          <w:szCs w:val="24"/>
          <w:highlight w:val="none"/>
        </w:rPr>
        <w:t xml:space="preserve">年</w:t>
      </w:r>
      <w:r>
        <w:rPr>
          <w:rFonts w:ascii="宋体" w:hAnsi="宋体"/>
          <w:szCs w:val="24"/>
          <w:highlight w:val="none"/>
        </w:rPr>
        <w:t xml:space="preserve">         </w:t>
      </w:r>
      <w:r>
        <w:rPr>
          <w:rFonts w:hint="eastAsia" w:ascii="宋体" w:hAnsi="宋体"/>
          <w:szCs w:val="24"/>
          <w:highlight w:val="none"/>
        </w:rPr>
        <w:t xml:space="preserve">月</w:t>
      </w:r>
      <w:r>
        <w:rPr>
          <w:rFonts w:ascii="宋体" w:hAnsi="宋体"/>
          <w:szCs w:val="24"/>
          <w:highlight w:val="none"/>
        </w:rPr>
        <w:t xml:space="preserve">       </w:t>
      </w:r>
      <w:r>
        <w:rPr>
          <w:rFonts w:hint="eastAsia" w:ascii="宋体" w:hAnsi="宋体"/>
          <w:szCs w:val="24"/>
          <w:highlight w:val="none"/>
        </w:rPr>
        <w:t xml:space="preserve">日</w:t>
      </w:r>
      <w:r>
        <w:rPr>
          <w:rFonts w:ascii="宋体" w:hAnsi="宋体"/>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39"/>
        <w:spacing w:line="360" w:lineRule="auto"/>
        <w:rPr>
          <w:rFonts w:hint="eastAsia" w:ascii="宋体" w:hAnsi="宋体" w:cs="宋体"/>
          <w:b/>
          <w:sz w:val="28"/>
          <w:highlight w:val="none"/>
        </w:rPr>
      </w:pPr>
      <w:r>
        <w:rPr>
          <w:rFonts w:hint="eastAsia" w:ascii="宋体" w:hAnsi="宋体" w:cs="宋体"/>
          <w:b/>
          <w:sz w:val="28"/>
          <w:highlight w:val="none"/>
        </w:rPr>
      </w:r>
      <w:r/>
    </w:p>
    <w:p>
      <w:pPr>
        <w:pStyle w:val="939"/>
        <w:spacing w:line="360" w:lineRule="auto"/>
        <w:rPr>
          <w:rFonts w:ascii="宋体" w:hAnsi="宋体"/>
          <w:bCs/>
          <w:sz w:val="24"/>
          <w:szCs w:val="24"/>
          <w:highlight w:val="none"/>
        </w:rPr>
      </w:pPr>
      <w:r>
        <w:rPr>
          <w:rFonts w:ascii="宋体" w:hAnsi="宋体"/>
          <w:bCs/>
          <w:sz w:val="24"/>
          <w:szCs w:val="24"/>
          <w:highlight w:val="none"/>
        </w:rPr>
      </w:r>
      <w:r/>
    </w:p>
    <w:p>
      <w:pPr>
        <w:pStyle w:val="939"/>
        <w:jc w:val="left"/>
        <w:spacing w:line="360" w:lineRule="auto"/>
        <w:rPr>
          <w:rFonts w:hint="eastAsia" w:ascii="宋体" w:hAnsi="宋体" w:cs="宋体"/>
          <w:b/>
          <w:sz w:val="24"/>
          <w:szCs w:val="24"/>
          <w:highlight w:val="none"/>
        </w:rPr>
      </w:pPr>
      <w:r>
        <w:rPr>
          <w:rFonts w:hint="eastAsia" w:ascii="宋体" w:hAnsi="宋体" w:cs="宋体"/>
          <w:sz w:val="24"/>
          <w:szCs w:val="24"/>
          <w:highlight w:val="none"/>
        </w:rPr>
        <w:br w:type="page" w:clear="all"/>
      </w:r>
      <w:r>
        <w:rPr>
          <w:rFonts w:hint="eastAsia" w:ascii="宋体" w:hAnsi="宋体" w:cs="宋体"/>
          <w:b/>
          <w:sz w:val="24"/>
          <w:szCs w:val="24"/>
          <w:highlight w:val="none"/>
        </w:rPr>
        <w:t xml:space="preserve">附件8、近三年类似业绩一览表</w:t>
      </w:r>
      <w:r>
        <w:rPr>
          <w:rFonts w:hint="eastAsia" w:ascii="宋体" w:hAnsi="宋体" w:cs="宋体"/>
          <w:b/>
          <w:sz w:val="24"/>
          <w:szCs w:val="24"/>
          <w:highlight w:val="none"/>
        </w:rPr>
      </w:r>
      <w:r/>
    </w:p>
    <w:p>
      <w:pPr>
        <w:pStyle w:val="939"/>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近三年类似业绩一览表</w:t>
      </w:r>
      <w:r>
        <w:rPr>
          <w:rFonts w:hint="eastAsia" w:ascii="宋体" w:hAnsi="宋体" w:cs="宋体"/>
          <w:b/>
          <w:sz w:val="24"/>
          <w:szCs w:val="24"/>
          <w:highlight w:val="none"/>
        </w:rPr>
      </w:r>
      <w:r/>
    </w:p>
    <w:p>
      <w:pPr>
        <w:pStyle w:val="939"/>
        <w:rPr>
          <w:rFonts w:hint="eastAsia"/>
          <w:b/>
          <w:bCs/>
          <w:highlight w:val="none"/>
        </w:rPr>
      </w:pPr>
      <w:r>
        <w:rPr>
          <w:rFonts w:hint="eastAsia"/>
          <w:b/>
          <w:bCs/>
          <w:highlight w:val="none"/>
        </w:rPr>
        <w:t xml:space="preserve">标段号：</w:t>
      </w:r>
      <w:r>
        <w:rPr>
          <w:rFonts w:hint="eastAsia"/>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52"/>
        <w:gridCol w:w="3491"/>
        <w:gridCol w:w="1925"/>
        <w:gridCol w:w="1862"/>
        <w:gridCol w:w="2108"/>
      </w:tblGrid>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项目时间</w:t>
            </w: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合同金额</w:t>
            </w:r>
            <w:r>
              <w:rPr>
                <w:rFonts w:hint="eastAsia" w:ascii="宋体" w:hAnsi="宋体" w:cs="宋体"/>
                <w:sz w:val="24"/>
                <w:szCs w:val="24"/>
                <w:highlight w:val="none"/>
              </w:rPr>
            </w:r>
            <w:r/>
          </w:p>
          <w:p>
            <w:pPr>
              <w:pStyle w:val="939"/>
              <w:jc w:val="center"/>
              <w:spacing w:line="360" w:lineRule="auto"/>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c>
          <w:tcPr>
            <w:tcW w:w="37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721"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4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039" w:type="dxa"/>
            <w:vAlign w:val="center"/>
            <w:textDirection w:val="lrTb"/>
            <w:noWrap w:val="false"/>
          </w:tcPr>
          <w:p>
            <w:pPr>
              <w:pStyle w:val="939"/>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939"/>
        <w:ind w:firstLine="62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注：本表后附采购文件中评审方法及评分标准中要求提供的其他证明材料。</w:t>
      </w:r>
      <w:r>
        <w:rPr>
          <w:rFonts w:hint="eastAsia" w:ascii="宋体" w:hAnsi="宋体" w:cs="宋体"/>
          <w:sz w:val="24"/>
          <w:szCs w:val="24"/>
          <w:highlight w:val="none"/>
        </w:rPr>
      </w:r>
      <w:r/>
    </w:p>
    <w:p>
      <w:pPr>
        <w:pStyle w:val="939"/>
        <w:ind w:firstLine="62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9"/>
        <w:ind w:firstLine="62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39"/>
        <w:ind w:firstLine="62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法定代表人或代理人（签字或盖章）：</w:t>
      </w:r>
      <w:r>
        <w:rPr>
          <w:rFonts w:hint="eastAsia" w:ascii="宋体" w:hAnsi="宋体" w:cs="宋体"/>
          <w:sz w:val="24"/>
          <w:szCs w:val="24"/>
          <w:highlight w:val="none"/>
        </w:rPr>
      </w:r>
      <w:r/>
    </w:p>
    <w:p>
      <w:pPr>
        <w:pStyle w:val="939"/>
        <w:ind w:firstLine="629"/>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磋商日期:</w:t>
      </w:r>
      <w:r>
        <w:rPr>
          <w:rFonts w:hint="eastAsia" w:ascii="宋体" w:hAnsi="宋体" w:cs="宋体"/>
          <w:b/>
          <w:sz w:val="24"/>
          <w:szCs w:val="24"/>
          <w:highlight w:val="none"/>
        </w:rPr>
      </w:r>
      <w:r/>
    </w:p>
    <w:p>
      <w:pPr>
        <w:pStyle w:val="939"/>
        <w:spacing w:line="360" w:lineRule="auto"/>
        <w:rPr>
          <w:rFonts w:hint="eastAsia" w:ascii="宋体" w:hAnsi="宋体" w:cs="宋体"/>
          <w:b/>
          <w:sz w:val="24"/>
          <w:szCs w:val="24"/>
          <w:highlight w:val="none"/>
        </w:rPr>
      </w:pPr>
      <w:r>
        <w:rPr>
          <w:rFonts w:hint="eastAsia" w:ascii="宋体" w:hAnsi="宋体" w:cs="宋体"/>
          <w:highlight w:val="none"/>
        </w:rPr>
        <w:br w:type="page" w:clear="all"/>
      </w:r>
      <w:r>
        <w:rPr>
          <w:rFonts w:hint="eastAsia" w:ascii="宋体" w:hAnsi="宋体" w:cs="宋体"/>
          <w:b/>
          <w:sz w:val="24"/>
          <w:szCs w:val="24"/>
          <w:highlight w:val="none"/>
        </w:rPr>
        <w:t xml:space="preserve">附件9、资格证明文件</w:t>
      </w:r>
      <w:r>
        <w:rPr>
          <w:rFonts w:hint="eastAsia" w:ascii="宋体" w:hAnsi="宋体" w:cs="宋体"/>
          <w:b/>
          <w:sz w:val="24"/>
          <w:szCs w:val="24"/>
          <w:highlight w:val="none"/>
        </w:rPr>
      </w:r>
      <w:r/>
    </w:p>
    <w:p>
      <w:pPr>
        <w:pStyle w:val="939"/>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39"/>
        <w:widowControl/>
        <w:rPr>
          <w:rFonts w:hint="eastAsia" w:ascii="宋体" w:hAnsi="宋体" w:cs="宋体"/>
          <w:b/>
          <w:sz w:val="24"/>
          <w:szCs w:val="24"/>
          <w:highlight w:val="none"/>
        </w:rPr>
      </w:pPr>
      <w:r>
        <w:rPr>
          <w:rFonts w:hint="eastAsia" w:ascii="宋体" w:hAnsi="宋体" w:cs="宋体"/>
          <w:b/>
          <w:sz w:val="24"/>
          <w:szCs w:val="24"/>
          <w:highlight w:val="none"/>
        </w:rPr>
        <w:t xml:space="preserve">(1) 资格文件的声明函</w:t>
      </w:r>
      <w:r>
        <w:rPr>
          <w:rFonts w:hint="eastAsia" w:ascii="宋体" w:hAnsi="宋体" w:cs="宋体"/>
          <w:b/>
          <w:sz w:val="24"/>
          <w:szCs w:val="24"/>
          <w:highlight w:val="none"/>
        </w:rPr>
      </w:r>
      <w:r/>
    </w:p>
    <w:p>
      <w:pPr>
        <w:pStyle w:val="939"/>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资格文件的声明函</w:t>
      </w:r>
      <w:r>
        <w:rPr>
          <w:rFonts w:hint="eastAsia" w:ascii="宋体" w:hAnsi="宋体" w:cs="宋体"/>
          <w:sz w:val="24"/>
          <w:szCs w:val="24"/>
          <w:highlight w:val="none"/>
        </w:rPr>
      </w:r>
      <w:r/>
    </w:p>
    <w:p>
      <w:pPr>
        <w:pStyle w:val="939"/>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9"/>
        <w:ind w:firstLine="658"/>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ind w:left="180" w:firstLine="2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1、本公司愿就由贵公司组织实施的编号为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hint="eastAsia" w:ascii="宋体" w:hAnsi="宋体" w:cs="宋体"/>
          <w:sz w:val="24"/>
          <w:szCs w:val="24"/>
          <w:highlight w:val="none"/>
        </w:rPr>
        <w:t xml:space="preserve">的磋商采购活动进行响应。本公司所提交的响应文件中所有关于响应文件、证明和陈述均是真实的、准确的、有效的。若与真实情况不符，本公司愿意承担由此而产生的一切后果。</w:t>
      </w:r>
      <w:r>
        <w:rPr>
          <w:rFonts w:hint="eastAsia" w:ascii="宋体" w:hAnsi="宋体" w:cs="宋体"/>
          <w:sz w:val="24"/>
          <w:szCs w:val="24"/>
          <w:highlight w:val="none"/>
        </w:rPr>
      </w:r>
      <w:r/>
    </w:p>
    <w:p>
      <w:pPr>
        <w:pStyle w:val="939"/>
        <w:ind w:left="180" w:firstLine="2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2、我方已知晓竞争性磋商文件要求并认真审核自身情况，在此郑重声明，我方遵守如下条款的规定：</w:t>
      </w:r>
      <w:r>
        <w:rPr>
          <w:rFonts w:hint="eastAsia" w:ascii="宋体" w:hAnsi="宋体" w:cs="宋体"/>
          <w:sz w:val="24"/>
          <w:szCs w:val="24"/>
          <w:highlight w:val="none"/>
        </w:rPr>
      </w:r>
      <w:r/>
    </w:p>
    <w:p>
      <w:pPr>
        <w:pStyle w:val="939"/>
        <w:ind w:left="180" w:firstLine="513"/>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单位负责人为同一人或者存在直接控股、管理关系的不同供应商，不得参加同一合同项下的政府采购活动。</w:t>
      </w:r>
      <w:r>
        <w:rPr>
          <w:rFonts w:hint="eastAsia" w:ascii="宋体" w:hAnsi="宋体" w:cs="宋体"/>
          <w:sz w:val="24"/>
          <w:szCs w:val="24"/>
          <w:highlight w:val="none"/>
        </w:rPr>
      </w:r>
      <w:r/>
    </w:p>
    <w:p>
      <w:pPr>
        <w:pStyle w:val="939"/>
        <w:ind w:left="180" w:firstLine="2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本声明如有虚假或不实之处，我方将失去合格供应商资格。</w:t>
      </w:r>
      <w:r>
        <w:rPr>
          <w:rFonts w:hint="eastAsia" w:ascii="宋体" w:hAnsi="宋体" w:cs="宋体"/>
          <w:sz w:val="24"/>
          <w:szCs w:val="24"/>
          <w:highlight w:val="none"/>
        </w:rPr>
      </w:r>
      <w:r/>
    </w:p>
    <w:p>
      <w:pPr>
        <w:pStyle w:val="939"/>
        <w:ind w:firstLine="21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供应商与其他单位存在控股、管理关系情况表</w:t>
      </w:r>
      <w:r>
        <w:rPr>
          <w:rFonts w:hint="eastAsia" w:ascii="宋体" w:hAnsi="宋体" w:eastAsia="宋体" w:cs="宋体"/>
          <w:bCs/>
          <w:color w:val="000000"/>
          <w:sz w:val="24"/>
          <w:szCs w:val="24"/>
          <w:highlight w:val="none"/>
        </w:rPr>
      </w:r>
      <w:r/>
    </w:p>
    <w:tbl>
      <w:tblPr>
        <w:tblW w:w="1033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5169" w:type="dxa"/>
            <w:vAlign w:val="top"/>
            <w:textDirection w:val="lrTb"/>
            <w:noWrap w:val="false"/>
          </w:tcPr>
          <w:p>
            <w:pPr>
              <w:pStyle w:val="1066"/>
              <w:ind w:left="0" w:firstLine="0"/>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与供应商存在控股、管理关系的单位名称</w:t>
            </w:r>
            <w:r>
              <w:rPr>
                <w:rFonts w:hint="eastAsia" w:ascii="宋体" w:hAnsi="宋体" w:eastAsia="宋体" w:cs="宋体"/>
                <w:color w:val="000000"/>
                <w:sz w:val="24"/>
                <w:szCs w:val="24"/>
                <w:highlight w:val="none"/>
                <w:lang w:val="en-US" w:eastAsia="zh-CN" w:bidi="ar-SA"/>
              </w:rPr>
            </w:r>
            <w:r/>
          </w:p>
        </w:tc>
        <w:tc>
          <w:tcPr>
            <w:tcW w:w="5169" w:type="dxa"/>
            <w:vAlign w:val="top"/>
            <w:textDirection w:val="lrTb"/>
            <w:noWrap w:val="false"/>
          </w:tcPr>
          <w:p>
            <w:pPr>
              <w:pStyle w:val="1066"/>
              <w:ind w:firstLine="560"/>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控股、管理关系情况说明</w:t>
            </w:r>
            <w:r>
              <w:rPr>
                <w:rFonts w:hint="eastAsia" w:ascii="宋体" w:hAnsi="宋体" w:eastAsia="宋体" w:cs="宋体"/>
                <w:color w:val="000000"/>
                <w:sz w:val="24"/>
                <w:szCs w:val="24"/>
                <w:highlight w:val="none"/>
                <w:lang w:val="en-US" w:eastAsia="zh-CN" w:bidi="ar-SA"/>
              </w:rPr>
            </w:r>
            <w:r/>
          </w:p>
        </w:tc>
      </w:tr>
      <w:tr>
        <w:trPr>
          <w:trHeight w:val="703"/>
        </w:trPr>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703"/>
        </w:trPr>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5169" w:type="dxa"/>
            <w:vAlign w:val="top"/>
            <w:textDirection w:val="lrTb"/>
            <w:noWrap w:val="false"/>
          </w:tcPr>
          <w:p>
            <w:pPr>
              <w:pStyle w:val="1066"/>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bl>
    <w:p>
      <w:pPr>
        <w:pStyle w:val="939"/>
        <w:ind w:firstLine="21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注：供应商须如实填写所有与之有控股管理关系的情况。</w:t>
      </w:r>
      <w:r>
        <w:rPr>
          <w:rFonts w:hint="eastAsia" w:ascii="宋体" w:hAnsi="宋体" w:eastAsia="宋体" w:cs="宋体"/>
          <w:bCs/>
          <w:color w:val="000000"/>
          <w:sz w:val="24"/>
          <w:szCs w:val="24"/>
          <w:highlight w:val="none"/>
        </w:rPr>
      </w:r>
      <w:r/>
    </w:p>
    <w:p>
      <w:pPr>
        <w:pStyle w:val="939"/>
        <w:ind w:firstLine="658"/>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jc w:val="righ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法定代表人（签字或盖章）：</w:t>
      </w:r>
      <w:r>
        <w:rPr>
          <w:rFonts w:hint="eastAsia" w:ascii="宋体" w:hAnsi="宋体" w:cs="宋体"/>
          <w:sz w:val="24"/>
          <w:szCs w:val="24"/>
          <w:highlight w:val="none"/>
        </w:rPr>
      </w:r>
      <w:r/>
    </w:p>
    <w:p>
      <w:pPr>
        <w:pStyle w:val="939"/>
        <w:ind w:left="1700" w:firstLine="425"/>
        <w:jc w:val="righ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供应商（公章）：</w:t>
      </w:r>
      <w:r>
        <w:rPr>
          <w:rFonts w:hint="eastAsia" w:ascii="宋体" w:hAnsi="宋体" w:cs="宋体"/>
          <w:sz w:val="24"/>
          <w:szCs w:val="24"/>
          <w:highlight w:val="none"/>
        </w:rPr>
      </w:r>
      <w:r/>
    </w:p>
    <w:p>
      <w:pPr>
        <w:pStyle w:val="939"/>
        <w:jc w:val="righ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年</w:t>
      </w:r>
      <w:r>
        <w:rPr>
          <w:rFonts w:hint="eastAsia" w:ascii="宋体" w:hAnsi="宋体" w:cs="宋体"/>
          <w:sz w:val="24"/>
          <w:szCs w:val="24"/>
          <w:highlight w:val="none"/>
        </w:rPr>
        <w:tab/>
      </w:r>
      <w:r>
        <w:rPr>
          <w:rFonts w:hint="eastAsia" w:ascii="宋体" w:hAnsi="宋体" w:cs="宋体"/>
          <w:sz w:val="24"/>
          <w:szCs w:val="24"/>
          <w:highlight w:val="none"/>
        </w:rPr>
        <w:t xml:space="preserve"> 月 </w:t>
      </w:r>
      <w:r>
        <w:rPr>
          <w:rFonts w:hint="eastAsia" w:ascii="宋体" w:hAnsi="宋体" w:cs="宋体"/>
          <w:sz w:val="24"/>
          <w:szCs w:val="24"/>
          <w:highlight w:val="none"/>
        </w:rPr>
        <w:tab/>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39"/>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39"/>
        <w:widowControl/>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(2)供应商情况表</w:t>
      </w:r>
      <w:r>
        <w:rPr>
          <w:rFonts w:hint="eastAsia" w:ascii="宋体" w:hAnsi="宋体" w:cs="宋体"/>
          <w:b/>
          <w:sz w:val="24"/>
          <w:szCs w:val="24"/>
          <w:highlight w:val="none"/>
        </w:rPr>
      </w:r>
      <w:r/>
    </w:p>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供应商情况表</w:t>
      </w:r>
      <w:r>
        <w:rPr>
          <w:rFonts w:hint="eastAsia" w:ascii="宋体" w:hAnsi="宋体" w:cs="宋体"/>
          <w:sz w:val="24"/>
          <w:szCs w:val="24"/>
          <w:highlight w:val="none"/>
        </w:rPr>
      </w:r>
      <w:r/>
    </w:p>
    <w:p>
      <w:pPr>
        <w:pStyle w:val="939"/>
        <w:widowControl/>
        <w:rPr>
          <w:rFonts w:hint="eastAsia" w:ascii="宋体" w:hAnsi="宋体" w:cs="宋体"/>
          <w:sz w:val="24"/>
          <w:szCs w:val="24"/>
          <w:highlight w:val="none"/>
        </w:rPr>
      </w:pPr>
      <w:r>
        <w:rPr>
          <w:rFonts w:hint="eastAsia" w:ascii="宋体" w:hAnsi="宋体" w:cs="宋体"/>
          <w:sz w:val="24"/>
          <w:szCs w:val="24"/>
          <w:highlight w:val="none"/>
        </w:rPr>
      </w:r>
      <w:r/>
    </w:p>
    <w:p>
      <w:pPr>
        <w:pStyle w:val="939"/>
        <w:widowControl/>
        <w:rPr>
          <w:rFonts w:ascii="宋体" w:hAnsi="宋体" w:cs="宋体"/>
          <w:b/>
          <w:sz w:val="24"/>
          <w:szCs w:val="24"/>
          <w:highlight w:val="none"/>
        </w:rPr>
      </w:pPr>
      <w:r>
        <w:rPr>
          <w:rFonts w:hint="eastAsia" w:ascii="宋体" w:hAnsi="宋体" w:cs="宋体"/>
          <w:sz w:val="24"/>
          <w:szCs w:val="24"/>
          <w:highlight w:val="none"/>
        </w:rPr>
        <w:t xml:space="preserve">单位名称（盖章）                                                </w:t>
      </w:r>
      <w:r>
        <w:rPr>
          <w:rFonts w:hint="eastAsia" w:ascii="宋体" w:hAnsi="宋体" w:cs="宋体"/>
          <w:b/>
          <w:bCs/>
          <w:sz w:val="24"/>
          <w:szCs w:val="24"/>
          <w:highlight w:val="none"/>
        </w:rPr>
        <w:t xml:space="preserve"> 标段号：</w:t>
      </w:r>
      <w:r>
        <w:rPr>
          <w:rFonts w:ascii="宋体" w:hAnsi="宋体" w:cs="宋体"/>
          <w:b/>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52"/>
        <w:gridCol w:w="2534"/>
        <w:gridCol w:w="1742"/>
        <w:gridCol w:w="3010"/>
      </w:tblGrid>
      <w:tr>
        <w:trP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成立日期</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注册地址</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注册资金</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top"/>
            <w:textDirection w:val="lrTb"/>
            <w:noWrap w:val="false"/>
          </w:tcPr>
          <w:p>
            <w:pPr>
              <w:pStyle w:val="939"/>
              <w:ind w:firstLine="2160"/>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经营范围</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企业资质等级</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员工总人数</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资产总计</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营业收入</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39"/>
              <w:widowControl/>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实现利润</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39"/>
              <w:widowControl/>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营业面积（含厂房面积）</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平方米</w:t>
            </w:r>
            <w:r>
              <w:rPr>
                <w:rFonts w:hint="eastAsia" w:ascii="宋体"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单位简历及内设机构情况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8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单位优势及特长</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商业信誉和健全的财务会计制度介绍</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履行合同所必需的设备和专业技术能力情况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依法缴纳税收和社会保障资金情况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参加政府采购活动前三年内，在经营活动中有无重大违法记录</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其他需要说明的情况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39"/>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bl>
    <w:p>
      <w:pPr>
        <w:pStyle w:val="939"/>
        <w:rPr>
          <w:rFonts w:hint="eastAsia" w:ascii="宋体" w:hAnsi="宋体" w:cs="宋体"/>
          <w:sz w:val="24"/>
          <w:szCs w:val="24"/>
          <w:highlight w:val="none"/>
        </w:rPr>
      </w:pPr>
      <w:r>
        <w:rPr>
          <w:rFonts w:hint="eastAsia" w:ascii="宋体" w:hAnsi="宋体" w:cs="宋体"/>
          <w:sz w:val="24"/>
          <w:szCs w:val="24"/>
          <w:highlight w:val="none"/>
        </w:rPr>
      </w:r>
      <w:r/>
    </w:p>
    <w:p>
      <w:pPr>
        <w:pStyle w:val="939"/>
        <w:rPr>
          <w:rFonts w:hint="eastAsia" w:ascii="宋体" w:hAnsi="宋体" w:cs="宋体"/>
          <w:sz w:val="24"/>
          <w:szCs w:val="24"/>
          <w:highlight w:val="none"/>
        </w:rPr>
      </w:pPr>
      <w:r>
        <w:rPr>
          <w:rFonts w:hint="eastAsia" w:ascii="宋体" w:hAnsi="宋体" w:cs="宋体"/>
          <w:sz w:val="24"/>
          <w:szCs w:val="24"/>
          <w:highlight w:val="none"/>
        </w:rPr>
      </w:r>
      <w:r/>
    </w:p>
    <w:p>
      <w:pPr>
        <w:pStyle w:val="939"/>
        <w:rPr>
          <w:rFonts w:hint="eastAsia" w:ascii="宋体" w:hAnsi="宋体" w:cs="宋体"/>
          <w:sz w:val="24"/>
          <w:szCs w:val="24"/>
          <w:highlight w:val="none"/>
        </w:rPr>
      </w:pPr>
      <w:r>
        <w:rPr>
          <w:rFonts w:hint="eastAsia" w:ascii="宋体" w:hAnsi="宋体" w:cs="宋体"/>
          <w:sz w:val="24"/>
          <w:szCs w:val="24"/>
          <w:highlight w:val="none"/>
        </w:rPr>
      </w:r>
      <w:r/>
    </w:p>
    <w:p>
      <w:pPr>
        <w:pStyle w:val="939"/>
        <w:rPr>
          <w:rFonts w:hint="eastAsia" w:ascii="宋体" w:hAnsi="宋体" w:cs="宋体"/>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（3）</w:t>
      </w:r>
      <w:r>
        <w:rPr>
          <w:rFonts w:hint="eastAsia" w:ascii="宋体" w:hAnsi="宋体" w:cs="宋体"/>
          <w:sz w:val="24"/>
          <w:szCs w:val="24"/>
          <w:highlight w:val="none"/>
        </w:rPr>
        <w:t xml:space="preserve">中小企业声明函</w:t>
      </w:r>
      <w:r>
        <w:rPr>
          <w:rFonts w:hint="eastAsia" w:ascii="宋体" w:hAnsi="宋体" w:cs="宋体"/>
          <w:sz w:val="24"/>
          <w:szCs w:val="24"/>
          <w:highlight w:val="none"/>
        </w:rPr>
      </w:r>
      <w:r/>
    </w:p>
    <w:p>
      <w:pPr>
        <w:pStyle w:val="939"/>
        <w:jc w:val="center"/>
        <w:spacing w:line="588" w:lineRule="exact"/>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pStyle w:val="939"/>
        <w:jc w:val="center"/>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中小企业声明函</w:t>
      </w:r>
      <w:r>
        <w:rPr>
          <w:rFonts w:hint="eastAsia" w:ascii="宋体" w:hAnsi="宋体" w:cs="宋体"/>
          <w:sz w:val="24"/>
          <w:szCs w:val="24"/>
          <w:highlight w:val="none"/>
        </w:rPr>
      </w:r>
      <w:r/>
    </w:p>
    <w:p>
      <w:pPr>
        <w:pStyle w:val="939"/>
        <w:jc w:val="left"/>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 </w:t>
      </w:r>
      <w:r>
        <w:rPr>
          <w:rFonts w:hint="eastAsia" w:hAnsi="宋体" w:cs="宋体"/>
          <w:sz w:val="24"/>
          <w:szCs w:val="24"/>
          <w:highlight w:val="none"/>
          <w:u w:val="single"/>
          <w:lang w:val="zh-CN"/>
        </w:rPr>
        <w:t xml:space="preserve">                        </w:t>
      </w:r>
      <w:r>
        <w:rPr>
          <w:rFonts w:hint="eastAsia" w:hAnsi="宋体" w:cs="宋体"/>
          <w:sz w:val="24"/>
          <w:szCs w:val="24"/>
          <w:highlight w:val="none"/>
          <w:lang w:val="zh-CN"/>
        </w:rPr>
        <w:t xml:space="preserve"> ：</w:t>
      </w:r>
      <w:r>
        <w:rPr>
          <w:rFonts w:hint="eastAsia" w:hAnsi="宋体" w:cs="宋体"/>
          <w:sz w:val="24"/>
          <w:szCs w:val="24"/>
          <w:highlight w:val="none"/>
          <w:lang w:val="zh-CN"/>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的采购活动，服务全部由符合政策要求的中小企业承接。相关企业（含联合体中的中小企业、签订分包意向协议的中小企业）的具体情况如下：</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u w:val="single"/>
        </w:rPr>
        <w:t xml:space="preserve">水资源及供水水质监测</w:t>
      </w:r>
      <w:r>
        <w:rPr>
          <w:rFonts w:hint="eastAsia" w:ascii="宋体" w:hAnsi="宋体" w:cs="宋体"/>
          <w:sz w:val="24"/>
          <w:szCs w:val="24"/>
          <w:highlight w:val="none"/>
        </w:rPr>
        <w:t xml:space="preserve">，属于</w:t>
      </w:r>
      <w:r>
        <w:rPr>
          <w:rFonts w:hint="eastAsia" w:ascii="宋体" w:hAnsi="宋体" w:cs="宋体"/>
          <w:b/>
          <w:bCs/>
          <w:sz w:val="24"/>
          <w:szCs w:val="24"/>
          <w:highlight w:val="none"/>
          <w:u w:val="single"/>
        </w:rPr>
        <w:t xml:space="preserve">其他未列明行业</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微型企业）</w:t>
      </w:r>
      <w:r>
        <w:rPr>
          <w:rFonts w:hint="eastAsia" w:ascii="宋体" w:hAnsi="宋体" w:cs="宋体"/>
          <w:sz w:val="24"/>
          <w:szCs w:val="24"/>
          <w:highlight w:val="none"/>
        </w:rPr>
        <w:t xml:space="preserve">；</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rPr>
          <w:rFonts w:ascii="宋体" w:hAnsi="宋体" w:cs="宋体"/>
          <w:sz w:val="24"/>
          <w:szCs w:val="24"/>
          <w:highlight w:val="none"/>
        </w:rPr>
      </w:r>
      <w:r/>
    </w:p>
    <w:p>
      <w:pPr>
        <w:pStyle w:val="939"/>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ascii="宋体" w:hAnsi="宋体" w:cs="宋体"/>
          <w:sz w:val="24"/>
          <w:szCs w:val="24"/>
          <w:highlight w:val="none"/>
        </w:rPr>
      </w:r>
      <w:r/>
    </w:p>
    <w:p>
      <w:pPr>
        <w:pStyle w:val="939"/>
        <w:ind w:firstLine="480"/>
        <w:jc w:val="right"/>
        <w:spacing w:line="360" w:lineRule="auto"/>
        <w:rPr>
          <w:rFonts w:ascii="宋体" w:hAnsi="宋体" w:cs="宋体"/>
          <w:sz w:val="24"/>
          <w:szCs w:val="24"/>
          <w:highlight w:val="none"/>
        </w:rPr>
      </w:pPr>
      <w:r>
        <w:rPr>
          <w:rFonts w:ascii="宋体" w:hAnsi="宋体" w:cs="宋体"/>
          <w:sz w:val="24"/>
          <w:szCs w:val="24"/>
          <w:highlight w:val="none"/>
        </w:rPr>
      </w:r>
      <w:r/>
    </w:p>
    <w:p>
      <w:pPr>
        <w:pStyle w:val="939"/>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                   企业名称（盖章）：</w:t>
      </w:r>
      <w:r>
        <w:rPr>
          <w:rFonts w:ascii="宋体" w:hAnsi="宋体" w:cs="宋体"/>
          <w:sz w:val="24"/>
          <w:szCs w:val="24"/>
          <w:highlight w:val="none"/>
        </w:rPr>
      </w:r>
      <w:r/>
    </w:p>
    <w:p>
      <w:pPr>
        <w:pStyle w:val="939"/>
        <w:ind w:firstLine="6480"/>
        <w:spacing w:line="360" w:lineRule="auto"/>
        <w:rPr>
          <w:rFonts w:ascii="宋体" w:hAnsi="宋体" w:cs="宋体"/>
          <w:sz w:val="24"/>
          <w:szCs w:val="24"/>
          <w:highlight w:val="none"/>
        </w:rPr>
      </w:pPr>
      <w:r>
        <w:rPr>
          <w:rFonts w:hint="eastAsia" w:ascii="宋体" w:hAnsi="宋体" w:cs="宋体"/>
          <w:sz w:val="24"/>
          <w:szCs w:val="24"/>
          <w:highlight w:val="none"/>
        </w:rPr>
        <w:t xml:space="preserve">日   期：</w:t>
      </w:r>
      <w:r>
        <w:rPr>
          <w:rFonts w:ascii="宋体" w:hAnsi="宋体" w:cs="宋体"/>
          <w:sz w:val="24"/>
          <w:szCs w:val="24"/>
          <w:highlight w:val="none"/>
        </w:rPr>
      </w:r>
      <w:r/>
    </w:p>
    <w:p>
      <w:pPr>
        <w:pStyle w:val="939"/>
        <w:spacing w:line="360" w:lineRule="auto"/>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r>
      <w:r/>
    </w:p>
    <w:p>
      <w:pPr>
        <w:pStyle w:val="939"/>
        <w:numPr>
          <w:ilvl w:val="0"/>
          <w:numId w:val="8"/>
        </w:num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中小企业划分标准详见“工信部联企业〔2011〕300号通知中的《中小企业划型标准规定》”。</w:t>
      </w:r>
      <w:r>
        <w:rPr>
          <w:rFonts w:ascii="宋体" w:hAnsi="宋体" w:cs="宋体"/>
          <w:b/>
          <w:color w:val="000000"/>
          <w:sz w:val="24"/>
          <w:szCs w:val="24"/>
          <w:highlight w:val="none"/>
        </w:rPr>
      </w:r>
      <w:r/>
    </w:p>
    <w:p>
      <w:pPr>
        <w:pStyle w:val="939"/>
        <w:numPr>
          <w:ilvl w:val="0"/>
          <w:numId w:val="8"/>
        </w:num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u w:val="single"/>
        </w:rPr>
        <w:t xml:space="preserve">如响应单位认定本企业为中型、小型或微型企业，则需根据“工信部联企业〔2011〕300号”通知中的《中小企业划型标准规定》填报“中小企业声明函”</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939"/>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3、从业人员、营业收入、资产总额填报上一年度数据，无上一年度数据的新成立企业可不填报。</w:t>
      </w:r>
      <w:r>
        <w:rPr>
          <w:rFonts w:hint="eastAsia" w:ascii="宋体" w:hAnsi="宋体" w:cs="宋体"/>
          <w:b/>
          <w:color w:val="000000"/>
          <w:sz w:val="24"/>
          <w:szCs w:val="24"/>
          <w:highlight w:val="none"/>
          <w:lang w:val="zh-CN"/>
        </w:rPr>
      </w:r>
      <w:r/>
    </w:p>
    <w:p>
      <w:pPr>
        <w:pStyle w:val="939"/>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u w:val="single"/>
        </w:rPr>
        <w:t xml:space="preserve">响应单位</w:t>
      </w:r>
      <w:r>
        <w:rPr>
          <w:rFonts w:hint="eastAsia" w:ascii="宋体" w:hAnsi="宋体" w:cs="宋体"/>
          <w:b/>
          <w:color w:val="000000"/>
          <w:sz w:val="24"/>
          <w:szCs w:val="24"/>
          <w:highlight w:val="none"/>
        </w:rPr>
        <w:t xml:space="preserve">应对照中小企业划分标准和采购标的所属行业：</w:t>
      </w:r>
      <w:r>
        <w:rPr>
          <w:rFonts w:hint="eastAsia" w:ascii="宋体" w:hAnsi="宋体" w:cs="宋体"/>
          <w:b/>
          <w:bCs/>
          <w:sz w:val="24"/>
          <w:szCs w:val="24"/>
          <w:highlight w:val="none"/>
          <w:u w:val="single"/>
        </w:rPr>
        <w:t xml:space="preserve">其他未列明行业</w:t>
      </w:r>
      <w:r>
        <w:rPr>
          <w:rFonts w:hint="eastAsia" w:ascii="宋体" w:hAnsi="宋体" w:cs="宋体"/>
          <w:b/>
          <w:color w:val="000000"/>
          <w:sz w:val="24"/>
          <w:szCs w:val="24"/>
          <w:highlight w:val="none"/>
        </w:rPr>
        <w:t xml:space="preserve"> ，如实、完整填报《中小企业声明函》，如未对（中型企业、小型企业、微型企业）进行勾选，视同非中、小、微企业，不享受相应扶持政策。</w:t>
      </w:r>
      <w:r>
        <w:rPr>
          <w:rFonts w:hint="eastAsia" w:ascii="宋体" w:hAnsi="宋体" w:cs="宋体"/>
          <w:b/>
          <w:color w:val="000000"/>
          <w:sz w:val="24"/>
          <w:szCs w:val="24"/>
          <w:highlight w:val="none"/>
        </w:rPr>
      </w:r>
      <w:r/>
    </w:p>
    <w:p>
      <w:pPr>
        <w:pStyle w:val="939"/>
        <w:ind w:firstLine="48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3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t xml:space="preserve">（4）残疾人福利性单位声明函</w:t>
      </w:r>
      <w:r>
        <w:rPr>
          <w:rFonts w:hint="eastAsia" w:ascii="宋体" w:hAnsi="宋体" w:cs="宋体"/>
          <w:sz w:val="24"/>
          <w:szCs w:val="24"/>
          <w:highlight w:val="none"/>
        </w:rPr>
      </w:r>
      <w:r/>
    </w:p>
    <w:p>
      <w:pPr>
        <w:pStyle w:val="939"/>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残疾人福利性单位声明函</w:t>
      </w:r>
      <w:r>
        <w:rPr>
          <w:rFonts w:hint="eastAsia" w:ascii="宋体" w:hAnsi="宋体" w:cs="宋体"/>
          <w:b/>
          <w:bCs/>
          <w:sz w:val="24"/>
          <w:szCs w:val="24"/>
          <w:highlight w:val="none"/>
        </w:rPr>
      </w:r>
      <w:r/>
    </w:p>
    <w:p>
      <w:pPr>
        <w:pStyle w:val="952"/>
        <w:ind w:left="0"/>
        <w:spacing w:line="360" w:lineRule="auto"/>
        <w:rPr>
          <w:rFonts w:hint="eastAsia" w:ascii="宋体" w:hAnsi="宋体" w:cs="宋体"/>
          <w:b/>
          <w:bCs/>
          <w:szCs w:val="24"/>
          <w:highlight w:val="none"/>
        </w:rPr>
      </w:pPr>
      <w:r>
        <w:rPr>
          <w:rFonts w:hint="eastAsia" w:ascii="宋体" w:hAnsi="宋体" w:cs="宋体"/>
          <w:b/>
          <w:bCs/>
          <w:szCs w:val="24"/>
          <w:highlight w:val="none"/>
        </w:rPr>
        <w:t xml:space="preserve">  </w:t>
      </w:r>
      <w:r>
        <w:rPr>
          <w:rFonts w:hint="eastAsia" w:ascii="宋体" w:hAnsi="宋体" w:cs="宋体"/>
          <w:b/>
          <w:bCs/>
          <w:szCs w:val="24"/>
          <w:highlight w:val="none"/>
          <w:u w:val="single"/>
        </w:rPr>
        <w:t xml:space="preserve">                          </w:t>
      </w:r>
      <w:r>
        <w:rPr>
          <w:rFonts w:hint="eastAsia" w:ascii="宋体" w:hAnsi="宋体" w:cs="宋体"/>
          <w:b/>
          <w:bCs/>
          <w:szCs w:val="24"/>
          <w:highlight w:val="none"/>
        </w:rPr>
        <w:t xml:space="preserve">：</w:t>
      </w:r>
      <w:r>
        <w:rPr>
          <w:rFonts w:hint="eastAsia" w:ascii="宋体" w:hAnsi="宋体" w:cs="宋体"/>
          <w:b/>
          <w:bCs/>
          <w:szCs w:val="24"/>
          <w:highlight w:val="none"/>
        </w:rPr>
      </w:r>
      <w:r/>
    </w:p>
    <w:p>
      <w:pPr>
        <w:pStyle w:val="952"/>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highlight w:val="none"/>
          <w:u w:val="single"/>
        </w:rPr>
        <w:t xml:space="preserve"> （采购单位）</w:t>
      </w:r>
      <w:r>
        <w:rPr>
          <w:rFonts w:hint="eastAsia" w:ascii="宋体" w:hAnsi="宋体" w:cs="宋体"/>
          <w:sz w:val="24"/>
          <w:szCs w:val="24"/>
          <w:highlight w:val="none"/>
        </w:rPr>
        <w:t xml:space="preserve"> 单位的</w:t>
      </w:r>
      <w:r>
        <w:rPr>
          <w:rFonts w:hint="eastAsia" w:ascii="宋体" w:hAnsi="宋体" w:cs="宋体"/>
          <w:sz w:val="24"/>
          <w:szCs w:val="24"/>
          <w:highlight w:val="none"/>
          <w:u w:val="single"/>
          <w:lang w:val="zh-CN"/>
        </w:rPr>
        <w:t xml:space="preserve">（采购编号、标段号及项目名称）</w:t>
      </w:r>
      <w:r>
        <w:rPr>
          <w:rFonts w:hint="eastAsia" w:ascii="宋体" w:hAnsi="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highlight w:val="none"/>
        </w:rPr>
      </w:r>
      <w:r/>
    </w:p>
    <w:p>
      <w:pPr>
        <w:pStyle w:val="952"/>
        <w:ind w:left="0"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b/>
          <w:bCs/>
          <w:sz w:val="24"/>
          <w:szCs w:val="24"/>
          <w:highlight w:val="none"/>
        </w:rPr>
      </w:r>
      <w:r/>
    </w:p>
    <w:p>
      <w:pPr>
        <w:pStyle w:val="952"/>
        <w:spacing w:line="360" w:lineRule="auto"/>
        <w:rPr>
          <w:rFonts w:hint="eastAsia" w:ascii="宋体" w:hAnsi="宋体" w:cs="宋体"/>
          <w:b/>
          <w:bCs/>
          <w:szCs w:val="24"/>
          <w:highlight w:val="none"/>
        </w:rPr>
      </w:pPr>
      <w:r>
        <w:rPr>
          <w:rFonts w:hint="eastAsia" w:ascii="宋体" w:hAnsi="宋体" w:cs="宋体"/>
          <w:b/>
          <w:bCs/>
          <w:szCs w:val="24"/>
          <w:highlight w:val="none"/>
        </w:rPr>
      </w:r>
      <w:r/>
    </w:p>
    <w:p>
      <w:pPr>
        <w:pStyle w:val="952"/>
        <w:spacing w:line="360" w:lineRule="auto"/>
        <w:rPr>
          <w:rFonts w:hint="eastAsia" w:ascii="宋体" w:hAnsi="宋体" w:cs="宋体"/>
          <w:b/>
          <w:bCs/>
          <w:szCs w:val="24"/>
          <w:highlight w:val="none"/>
        </w:rPr>
      </w:pPr>
      <w:r>
        <w:rPr>
          <w:rFonts w:hint="eastAsia" w:ascii="宋体" w:hAnsi="宋体" w:cs="宋体"/>
          <w:b/>
          <w:bCs/>
          <w:szCs w:val="24"/>
          <w:highlight w:val="none"/>
        </w:rPr>
      </w:r>
      <w:r/>
    </w:p>
    <w:p>
      <w:pPr>
        <w:pStyle w:val="952"/>
        <w:ind w:left="3402"/>
        <w:jc w:val="righ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  响应单位：         （单位盖章） </w:t>
      </w:r>
      <w:r>
        <w:rPr>
          <w:rFonts w:hint="eastAsia" w:ascii="宋体" w:hAnsi="宋体" w:cs="宋体"/>
          <w:sz w:val="24"/>
          <w:szCs w:val="24"/>
          <w:highlight w:val="none"/>
        </w:rPr>
      </w:r>
      <w:r/>
    </w:p>
    <w:p>
      <w:pPr>
        <w:pStyle w:val="952"/>
        <w:ind w:left="340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rPr>
          <w:rFonts w:hint="eastAsia" w:ascii="宋体" w:hAnsi="宋体" w:cs="宋体"/>
          <w:sz w:val="24"/>
          <w:szCs w:val="24"/>
          <w:highlight w:val="none"/>
        </w:rPr>
      </w:r>
      <w:r/>
    </w:p>
    <w:p>
      <w:pPr>
        <w:pStyle w:val="939"/>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附件10：投标（响应）保证承诺书</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（采购代理机构名称）</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（项目名称和采购编号）</w:t>
      </w:r>
      <w:r>
        <w:rPr>
          <w:rFonts w:ascii="SimSun" w:hAnsi="SimSun" w:eastAsia="SimSun" w:cs="SimSun"/>
          <w:color w:val="000000"/>
          <w:sz w:val="24"/>
        </w:rPr>
        <w:t xml:space="preserve">的投标（响应），并做出如下承诺：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3.中标（成交）后不按本采购文件规定向采购人提交履约保证金（如有）；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pStyle w:val="939"/>
        <w:jc w:val="right"/>
        <w:spacing w:line="360" w:lineRule="auto"/>
        <w:rPr>
          <w:rFonts w:hint="eastAsia" w:ascii="宋体" w:hAnsi="宋体" w:cs="宋体"/>
          <w:b/>
          <w:highlight w:val="none"/>
        </w:rPr>
      </w:pPr>
      <w:r>
        <w:rPr>
          <w:rFonts w:hint="eastAsia" w:ascii="宋体" w:hAnsi="宋体" w:cs="宋体"/>
          <w:b/>
          <w:highlight w:val="none"/>
        </w:rPr>
        <w:t xml:space="preserve"> （全文完）</w:t>
      </w:r>
      <w:r/>
    </w:p>
    <w:sectPr>
      <w:footnotePr/>
      <w:endnotePr/>
      <w:type w:val="nextPage"/>
      <w:pgSz w:w="11906" w:h="16838" w:orient="portrait"/>
      <w:pgMar w:top="907" w:right="907" w:bottom="907" w:left="964"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tabs>
        <w:tab w:val="center" w:pos="4153" w:leader="none"/>
        <w:tab w:val="right" w:pos="8306" w:leader="none"/>
      </w:tabs>
      <w:rPr>
        <w:rFonts w:hint="eastAsia"/>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rPr>
                              <w:rFonts w:hint="eastAsia" w:eastAsia="微软雅黑"/>
                            </w:rPr>
                          </w:pPr>
                          <w:r>
                            <w:rPr>
                              <w:rFonts w:hint="eastAsia" w:eastAsia="微软雅黑"/>
                            </w:rPr>
                            <w:t xml:space="preserve">第 </w:t>
                          </w:r>
                          <w:r>
                            <w:rPr>
                              <w:rFonts w:hint="eastAsia" w:eastAsia="微软雅黑"/>
                            </w:rPr>
                            <w:fldChar w:fldCharType="begin"/>
                          </w:r>
                          <w:r>
                            <w:rPr>
                              <w:rFonts w:hint="eastAsia" w:eastAsia="微软雅黑"/>
                            </w:rPr>
                            <w:instrText xml:space="preserve"> PAGE  \* MERGEFORMAT </w:instrText>
                          </w:r>
                          <w:r>
                            <w:rPr>
                              <w:rFonts w:hint="eastAsia" w:eastAsia="微软雅黑"/>
                            </w:rPr>
                            <w:fldChar w:fldCharType="separate"/>
                          </w:r>
                          <w:r>
                            <w:rPr>
                              <w:rFonts w:eastAsia="微软雅黑"/>
                            </w:rPr>
                            <w:t xml:space="preserve">1</w:t>
                          </w:r>
                          <w:r>
                            <w:rPr>
                              <w:rFonts w:hint="eastAsia" w:eastAsia="微软雅黑"/>
                            </w:rPr>
                            <w:fldChar w:fldCharType="end"/>
                          </w:r>
                          <w:r>
                            <w:rPr>
                              <w:rFonts w:hint="eastAsia" w:eastAsia="微软雅黑"/>
                            </w:rPr>
                            <w:t xml:space="preserve"> 页 共 </w:t>
                          </w:r>
                          <w:r>
                            <w:rPr>
                              <w:rFonts w:hint="eastAsia" w:eastAsia="微软雅黑"/>
                            </w:rPr>
                            <w:fldChar w:fldCharType="begin"/>
                          </w:r>
                          <w:r>
                            <w:rPr>
                              <w:rFonts w:hint="eastAsia" w:eastAsia="微软雅黑"/>
                            </w:rPr>
                            <w:instrText xml:space="preserve"> NUMPAGES  \* MERGEFORMAT </w:instrText>
                          </w:r>
                          <w:r>
                            <w:rPr>
                              <w:rFonts w:hint="eastAsia" w:eastAsia="微软雅黑"/>
                            </w:rPr>
                            <w:fldChar w:fldCharType="separate"/>
                          </w:r>
                          <w:r>
                            <w:rPr>
                              <w:rFonts w:eastAsia="微软雅黑"/>
                            </w:rPr>
                            <w:t xml:space="preserve">40</w:t>
                          </w:r>
                          <w:r>
                            <w:rPr>
                              <w:rFonts w:hint="eastAsia" w:eastAsia="微软雅黑"/>
                            </w:rPr>
                            <w:fldChar w:fldCharType="end"/>
                          </w:r>
                          <w:r>
                            <w:rPr>
                              <w:rFonts w:hint="eastAsia" w:eastAsia="微软雅黑"/>
                            </w:rPr>
                            <w:t xml:space="preserve"> 页</w:t>
                          </w:r>
                          <w:r>
                            <w:rPr>
                              <w:rFonts w:hint="eastAsia" w:eastAsia="微软雅黑"/>
                            </w:rPr>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rPr>
                        <w:rFonts w:hint="eastAsia" w:eastAsia="微软雅黑"/>
                      </w:rPr>
                    </w:pPr>
                    <w:r>
                      <w:rPr>
                        <w:rFonts w:hint="eastAsia" w:eastAsia="微软雅黑"/>
                      </w:rPr>
                      <w:t xml:space="preserve">第 </w:t>
                    </w:r>
                    <w:r>
                      <w:rPr>
                        <w:rFonts w:hint="eastAsia" w:eastAsia="微软雅黑"/>
                      </w:rPr>
                      <w:fldChar w:fldCharType="begin"/>
                    </w:r>
                    <w:r>
                      <w:rPr>
                        <w:rFonts w:hint="eastAsia" w:eastAsia="微软雅黑"/>
                      </w:rPr>
                      <w:instrText xml:space="preserve"> PAGE  \* MERGEFORMAT </w:instrText>
                    </w:r>
                    <w:r>
                      <w:rPr>
                        <w:rFonts w:hint="eastAsia" w:eastAsia="微软雅黑"/>
                      </w:rPr>
                      <w:fldChar w:fldCharType="separate"/>
                    </w:r>
                    <w:r>
                      <w:rPr>
                        <w:rFonts w:eastAsia="微软雅黑"/>
                      </w:rPr>
                      <w:t xml:space="preserve">1</w:t>
                    </w:r>
                    <w:r>
                      <w:rPr>
                        <w:rFonts w:hint="eastAsia" w:eastAsia="微软雅黑"/>
                      </w:rPr>
                      <w:fldChar w:fldCharType="end"/>
                    </w:r>
                    <w:r>
                      <w:rPr>
                        <w:rFonts w:hint="eastAsia" w:eastAsia="微软雅黑"/>
                      </w:rPr>
                      <w:t xml:space="preserve"> 页 共 </w:t>
                    </w:r>
                    <w:r>
                      <w:rPr>
                        <w:rFonts w:hint="eastAsia" w:eastAsia="微软雅黑"/>
                      </w:rPr>
                      <w:fldChar w:fldCharType="begin"/>
                    </w:r>
                    <w:r>
                      <w:rPr>
                        <w:rFonts w:hint="eastAsia" w:eastAsia="微软雅黑"/>
                      </w:rPr>
                      <w:instrText xml:space="preserve"> NUMPAGES  \* MERGEFORMAT </w:instrText>
                    </w:r>
                    <w:r>
                      <w:rPr>
                        <w:rFonts w:hint="eastAsia" w:eastAsia="微软雅黑"/>
                      </w:rPr>
                      <w:fldChar w:fldCharType="separate"/>
                    </w:r>
                    <w:r>
                      <w:rPr>
                        <w:rFonts w:eastAsia="微软雅黑"/>
                      </w:rPr>
                      <w:t xml:space="preserve">40</w:t>
                    </w:r>
                    <w:r>
                      <w:rPr>
                        <w:rFonts w:hint="eastAsia" w:eastAsia="微软雅黑"/>
                      </w:rPr>
                      <w:fldChar w:fldCharType="end"/>
                    </w:r>
                    <w:r>
                      <w:rPr>
                        <w:rFonts w:hint="eastAsia" w:eastAsia="微软雅黑"/>
                      </w:rPr>
                      <w:t xml:space="preserve"> 页</w:t>
                    </w:r>
                    <w:r>
                      <w:rPr>
                        <w:rFonts w:hint="eastAsia" w:eastAsia="微软雅黑"/>
                      </w:rPr>
                    </w:r>
                    <w:r/>
                  </w:p>
                  <w:p>
                    <w:pPr>
                      <w:pStyle w:val="939"/>
                    </w:pPr>
                    <w:r/>
                    <w:r/>
                  </w:p>
                </w:txbxContent>
              </v:textbox>
            </v:shape>
          </w:pict>
        </mc:Fallback>
      </mc:AlternateContent>
    </w:r>
    <w:r>
      <w:rPr>
        <w:rFonts w:hint="eastAsia"/>
        <w:sz w:val="18"/>
      </w:rPr>
      <w:t xml:space="preserve">                                                                                 </w:t>
    </w:r>
    <w:r>
      <w:rPr>
        <w:rFonts w:hint="eastAsia"/>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9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tabs>
        <w:tab w:val="center" w:pos="4153" w:leader="none"/>
        <w:tab w:val="right" w:pos="8306" w:leader="none"/>
      </w:tabs>
      <w:rPr>
        <w:rFonts w:hint="eastAsia" w:eastAsia="宋体"/>
        <w:sz w:val="18"/>
        <w:lang w:eastAsia="zh-CN"/>
      </w:rPr>
      <w:pBdr>
        <w:bottom w:val="single" w:color="000000" w:sz="6" w:space="1"/>
      </w:pBdr>
    </w:pPr>
    <w:r>
      <w:rPr>
        <w:rFonts w:hint="eastAsia" w:ascii="宋体" w:hAnsi="宋体" w:cs="宋体"/>
        <w:sz w:val="18"/>
      </w:rPr>
      <w:t xml:space="preserve">江苏海外集团国际工程咨询有限公司</w:t>
    </w:r>
    <w:r>
      <w:rPr>
        <w:rFonts w:hint="eastAsia"/>
        <w:sz w:val="18"/>
      </w:rPr>
      <w:t xml:space="preserve">                                          </w:t>
    </w:r>
    <w:r>
      <w:rPr>
        <w:rFonts w:hint="eastAsia"/>
        <w:color w:val="ff0000"/>
        <w:sz w:val="18"/>
      </w:rPr>
      <w:t xml:space="preserve">  </w:t>
    </w:r>
    <w:r>
      <w:rPr>
        <w:rFonts w:hint="eastAsia" w:ascii="宋体"/>
        <w:color w:val="ff0000"/>
        <w:sz w:val="18"/>
      </w:rPr>
      <w:t xml:space="preserve">      </w:t>
    </w:r>
    <w:r>
      <w:rPr>
        <w:rFonts w:hint="eastAsia" w:ascii="宋体"/>
        <w:sz w:val="18"/>
        <w:szCs w:val="18"/>
        <w:lang w:eastAsia="zh-CN"/>
      </w:rPr>
      <w:t xml:space="preserve">JSZC-320506-HWZX-C2025-0957</w:t>
    </w:r>
    <w:r>
      <w:rPr>
        <w:rFonts w:hint="eastAsia" w:eastAsia="宋体"/>
        <w:sz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9"/>
        <w:ind w:left="851" w:hanging="425"/>
      </w:pPr>
      <w:rPr>
        <w:b w:val="0"/>
      </w:rPr>
    </w:lvl>
    <w:lvl w:ilvl="1">
      <w:start w:val="1"/>
      <w:numFmt w:val="decimal"/>
      <w:isLgl w:val="false"/>
      <w:suff w:val="tab"/>
      <w:lvlText w:val="%1.%2."/>
      <w:lvlJc w:val="left"/>
      <w:pPr>
        <w:pStyle w:val="939"/>
        <w:ind w:left="567" w:hanging="567"/>
      </w:pPr>
    </w:lvl>
    <w:lvl w:ilvl="2">
      <w:start w:val="1"/>
      <w:numFmt w:val="decimal"/>
      <w:isLgl w:val="false"/>
      <w:suff w:val="tab"/>
      <w:lvlText w:val="%1.%2.%3."/>
      <w:lvlJc w:val="left"/>
      <w:pPr>
        <w:pStyle w:val="939"/>
        <w:ind w:left="709" w:hanging="709"/>
      </w:pPr>
    </w:lvl>
    <w:lvl w:ilvl="3">
      <w:start w:val="1"/>
      <w:numFmt w:val="decimal"/>
      <w:isLgl w:val="false"/>
      <w:suff w:val="tab"/>
      <w:lvlText w:val="%1.%2.%3.%4."/>
      <w:lvlJc w:val="left"/>
      <w:pPr>
        <w:pStyle w:val="939"/>
        <w:ind w:left="851" w:hanging="851"/>
      </w:pPr>
    </w:lvl>
    <w:lvl w:ilvl="4">
      <w:start w:val="1"/>
      <w:numFmt w:val="decimal"/>
      <w:isLgl w:val="false"/>
      <w:suff w:val="tab"/>
      <w:lvlText w:val="%1.%2.%3.%4.%5."/>
      <w:lvlJc w:val="left"/>
      <w:pPr>
        <w:pStyle w:val="939"/>
        <w:ind w:left="992" w:hanging="992"/>
      </w:pPr>
    </w:lvl>
    <w:lvl w:ilvl="5">
      <w:start w:val="1"/>
      <w:numFmt w:val="decimal"/>
      <w:isLgl w:val="false"/>
      <w:suff w:val="tab"/>
      <w:lvlText w:val="%1.%2.%3.%4.%5.%6."/>
      <w:lvlJc w:val="left"/>
      <w:pPr>
        <w:pStyle w:val="939"/>
        <w:ind w:left="1134" w:hanging="1134"/>
      </w:pPr>
    </w:lvl>
    <w:lvl w:ilvl="6">
      <w:start w:val="1"/>
      <w:numFmt w:val="decimal"/>
      <w:isLgl w:val="false"/>
      <w:suff w:val="tab"/>
      <w:lvlText w:val="%1.%2.%3.%4.%5.%6.%7."/>
      <w:lvlJc w:val="left"/>
      <w:pPr>
        <w:pStyle w:val="939"/>
        <w:ind w:left="1276" w:hanging="1276"/>
      </w:pPr>
    </w:lvl>
    <w:lvl w:ilvl="7">
      <w:start w:val="1"/>
      <w:numFmt w:val="decimal"/>
      <w:isLgl w:val="false"/>
      <w:suff w:val="tab"/>
      <w:lvlText w:val="%1.%2.%3.%4.%5.%6.%7.%8."/>
      <w:lvlJc w:val="left"/>
      <w:pPr>
        <w:pStyle w:val="939"/>
        <w:ind w:left="1418" w:hanging="1418"/>
      </w:pPr>
    </w:lvl>
    <w:lvl w:ilvl="8">
      <w:start w:val="1"/>
      <w:numFmt w:val="decimal"/>
      <w:isLgl w:val="false"/>
      <w:suff w:val="tab"/>
      <w:lvlText w:val="%1.%2.%3.%4.%5.%6.%7.%8.%9."/>
      <w:lvlJc w:val="left"/>
      <w:pPr>
        <w:pStyle w:val="939"/>
        <w:ind w:left="1559" w:hanging="1559"/>
      </w:pPr>
    </w:lvl>
  </w:abstractNum>
  <w:abstractNum w:abstractNumId="3">
    <w:multiLevelType w:val="hybridMultilevel"/>
    <w:lvl w:ilvl="0">
      <w:start w:val="1"/>
      <w:numFmt w:val="decimal"/>
      <w:isLgl w:val="false"/>
      <w:suff w:val="tab"/>
      <w:lvlText w:val="（%1）"/>
      <w:lvlJc w:val="left"/>
      <w:pPr>
        <w:pStyle w:val="939"/>
        <w:ind w:left="-420" w:hanging="420"/>
      </w:pPr>
      <w:rPr>
        <w:rFonts w:ascii="宋体" w:hAnsi="宋体"/>
      </w:rPr>
    </w:lvl>
    <w:lvl w:ilvl="1">
      <w:start w:val="1"/>
      <w:numFmt w:val="lowerLetter"/>
      <w:isLgl w:val="false"/>
      <w:suff w:val="tab"/>
      <w:lvlText w:val="%2)"/>
      <w:lvlJc w:val="left"/>
      <w:pPr>
        <w:pStyle w:val="939"/>
        <w:ind w:left="420" w:hanging="420"/>
      </w:pPr>
      <w:rPr>
        <w:rFonts w:ascii="宋体" w:hAnsi="宋体"/>
      </w:rPr>
    </w:lvl>
    <w:lvl w:ilvl="2">
      <w:start w:val="1"/>
      <w:numFmt w:val="lowerRoman"/>
      <w:isLgl w:val="false"/>
      <w:suff w:val="tab"/>
      <w:lvlText w:val="%3."/>
      <w:lvlJc w:val="right"/>
      <w:pPr>
        <w:pStyle w:val="939"/>
        <w:ind w:left="840" w:hanging="420"/>
      </w:pPr>
      <w:rPr>
        <w:rFonts w:ascii="宋体" w:hAnsi="宋体"/>
      </w:rPr>
    </w:lvl>
    <w:lvl w:ilvl="3">
      <w:start w:val="1"/>
      <w:numFmt w:val="decimal"/>
      <w:isLgl w:val="false"/>
      <w:suff w:val="tab"/>
      <w:lvlText w:val="%4."/>
      <w:lvlJc w:val="left"/>
      <w:pPr>
        <w:pStyle w:val="939"/>
        <w:ind w:left="1260" w:hanging="420"/>
      </w:pPr>
      <w:rPr>
        <w:rFonts w:ascii="宋体" w:hAnsi="宋体"/>
      </w:rPr>
    </w:lvl>
    <w:lvl w:ilvl="4">
      <w:start w:val="1"/>
      <w:numFmt w:val="lowerLetter"/>
      <w:isLgl w:val="false"/>
      <w:suff w:val="tab"/>
      <w:lvlText w:val="%5)"/>
      <w:lvlJc w:val="left"/>
      <w:pPr>
        <w:pStyle w:val="939"/>
        <w:ind w:left="1680" w:hanging="420"/>
      </w:pPr>
      <w:rPr>
        <w:rFonts w:ascii="宋体" w:hAnsi="宋体"/>
      </w:rPr>
    </w:lvl>
    <w:lvl w:ilvl="5">
      <w:start w:val="1"/>
      <w:numFmt w:val="lowerRoman"/>
      <w:isLgl w:val="false"/>
      <w:suff w:val="tab"/>
      <w:lvlText w:val="%6."/>
      <w:lvlJc w:val="right"/>
      <w:pPr>
        <w:pStyle w:val="939"/>
        <w:ind w:left="2100" w:hanging="420"/>
      </w:pPr>
      <w:rPr>
        <w:rFonts w:ascii="宋体" w:hAnsi="宋体"/>
      </w:rPr>
    </w:lvl>
    <w:lvl w:ilvl="6">
      <w:start w:val="1"/>
      <w:numFmt w:val="decimal"/>
      <w:isLgl w:val="false"/>
      <w:suff w:val="tab"/>
      <w:lvlText w:val="%7."/>
      <w:lvlJc w:val="left"/>
      <w:pPr>
        <w:pStyle w:val="939"/>
        <w:ind w:left="2520" w:hanging="420"/>
      </w:pPr>
      <w:rPr>
        <w:rFonts w:ascii="宋体" w:hAnsi="宋体"/>
      </w:rPr>
    </w:lvl>
    <w:lvl w:ilvl="7">
      <w:start w:val="1"/>
      <w:numFmt w:val="lowerLetter"/>
      <w:isLgl w:val="false"/>
      <w:suff w:val="tab"/>
      <w:lvlText w:val="%8)"/>
      <w:lvlJc w:val="left"/>
      <w:pPr>
        <w:pStyle w:val="939"/>
        <w:ind w:left="2940" w:hanging="420"/>
      </w:pPr>
      <w:rPr>
        <w:rFonts w:ascii="宋体" w:hAnsi="宋体"/>
      </w:rPr>
    </w:lvl>
    <w:lvl w:ilvl="8">
      <w:start w:val="1"/>
      <w:numFmt w:val="lowerRoman"/>
      <w:isLgl w:val="false"/>
      <w:suff w:val="tab"/>
      <w:lvlText w:val="%9."/>
      <w:lvlJc w:val="right"/>
      <w:pPr>
        <w:pStyle w:val="939"/>
        <w:ind w:left="3360" w:hanging="420"/>
      </w:pPr>
      <w:rPr>
        <w:rFonts w:ascii="宋体" w:hAnsi="宋体"/>
      </w:rPr>
    </w:lvl>
  </w:abstractNum>
  <w:abstractNum w:abstractNumId="4">
    <w:multiLevelType w:val="hybridMultilevel"/>
    <w:lvl w:ilvl="0">
      <w:start w:val="1"/>
      <w:numFmt w:val="decimal"/>
      <w:isLgl w:val="false"/>
      <w:suff w:val="tab"/>
      <w:lvlText w:val="%1."/>
      <w:lvlJc w:val="left"/>
      <w:pPr>
        <w:pStyle w:val="939"/>
        <w:ind w:left="-420" w:hanging="420"/>
      </w:pPr>
      <w:rPr>
        <w:rFonts w:ascii="宋体" w:hAnsi="宋体" w:eastAsia="宋体"/>
      </w:rPr>
    </w:lvl>
    <w:lvl w:ilvl="1">
      <w:start w:val="1"/>
      <w:numFmt w:val="chineseCounting"/>
      <w:isLgl w:val="false"/>
      <w:suff w:val="tab"/>
      <w:lvlText w:val="（%2）"/>
      <w:lvlJc w:val="left"/>
      <w:pPr>
        <w:pStyle w:val="939"/>
        <w:ind w:left="633" w:hanging="420"/>
      </w:pPr>
      <w:rPr>
        <w:b w:val="0"/>
      </w:rPr>
    </w:lvl>
    <w:lvl w:ilvl="2">
      <w:start w:val="1"/>
      <w:numFmt w:val="lowerRoman"/>
      <w:isLgl w:val="false"/>
      <w:suff w:val="tab"/>
      <w:lvlText w:val="%3."/>
      <w:lvlJc w:val="right"/>
      <w:pPr>
        <w:pStyle w:val="939"/>
        <w:ind w:left="1053" w:hanging="420"/>
      </w:pPr>
    </w:lvl>
    <w:lvl w:ilvl="3">
      <w:start w:val="1"/>
      <w:numFmt w:val="decimal"/>
      <w:isLgl w:val="false"/>
      <w:suff w:val="tab"/>
      <w:lvlText w:val="%4."/>
      <w:lvlJc w:val="left"/>
      <w:pPr>
        <w:pStyle w:val="939"/>
        <w:ind w:left="1473" w:hanging="420"/>
      </w:pPr>
    </w:lvl>
    <w:lvl w:ilvl="4">
      <w:start w:val="1"/>
      <w:numFmt w:val="lowerLetter"/>
      <w:isLgl w:val="false"/>
      <w:suff w:val="tab"/>
      <w:lvlText w:val="%5)"/>
      <w:lvlJc w:val="left"/>
      <w:pPr>
        <w:pStyle w:val="939"/>
        <w:ind w:left="1893" w:hanging="420"/>
      </w:pPr>
    </w:lvl>
    <w:lvl w:ilvl="5">
      <w:start w:val="1"/>
      <w:numFmt w:val="lowerRoman"/>
      <w:isLgl w:val="false"/>
      <w:suff w:val="tab"/>
      <w:lvlText w:val="%6."/>
      <w:lvlJc w:val="right"/>
      <w:pPr>
        <w:pStyle w:val="939"/>
        <w:ind w:left="2313" w:hanging="420"/>
      </w:pPr>
    </w:lvl>
    <w:lvl w:ilvl="6">
      <w:start w:val="1"/>
      <w:numFmt w:val="decimal"/>
      <w:isLgl w:val="false"/>
      <w:suff w:val="tab"/>
      <w:lvlText w:val="%7."/>
      <w:lvlJc w:val="left"/>
      <w:pPr>
        <w:pStyle w:val="939"/>
        <w:ind w:left="2733" w:hanging="420"/>
      </w:pPr>
    </w:lvl>
    <w:lvl w:ilvl="7">
      <w:start w:val="1"/>
      <w:numFmt w:val="lowerLetter"/>
      <w:isLgl w:val="false"/>
      <w:suff w:val="tab"/>
      <w:lvlText w:val="%8)"/>
      <w:lvlJc w:val="left"/>
      <w:pPr>
        <w:pStyle w:val="939"/>
        <w:ind w:left="3153" w:hanging="420"/>
      </w:pPr>
    </w:lvl>
    <w:lvl w:ilvl="8">
      <w:start w:val="1"/>
      <w:numFmt w:val="lowerRoman"/>
      <w:isLgl w:val="false"/>
      <w:suff w:val="tab"/>
      <w:lvlText w:val="%9."/>
      <w:lvlJc w:val="right"/>
      <w:pPr>
        <w:pStyle w:val="939"/>
        <w:ind w:left="3573" w:hanging="420"/>
      </w:pPr>
    </w:lvl>
  </w:abstractNum>
  <w:abstractNum w:abstractNumId="5">
    <w:multiLevelType w:val="hybridMultilevel"/>
    <w:lvl w:ilvl="0">
      <w:start w:val="1"/>
      <w:numFmt w:val="chineseCounting"/>
      <w:isLgl w:val="false"/>
      <w:suff w:val="tab"/>
      <w:lvlText w:val="%1、"/>
      <w:lvlJc w:val="left"/>
      <w:pPr>
        <w:pStyle w:val="939"/>
        <w:ind w:left="-840" w:hanging="420"/>
      </w:pPr>
      <w:rPr>
        <w:rFonts w:ascii="宋体" w:hAnsi="宋体"/>
        <w:b w:val="0"/>
      </w:rPr>
    </w:lvl>
    <w:lvl w:ilvl="1">
      <w:start w:val="1"/>
      <w:numFmt w:val="chineseCounting"/>
      <w:isLgl w:val="false"/>
      <w:suff w:val="tab"/>
      <w:lvlText w:val="(%2)"/>
      <w:lvlJc w:val="left"/>
      <w:pPr>
        <w:pStyle w:val="939"/>
        <w:ind w:left="1260" w:hanging="720"/>
      </w:pPr>
      <w:rPr>
        <w:rFonts w:ascii="宋体" w:hAnsi="宋体" w:eastAsia="宋体"/>
      </w:rPr>
    </w:lvl>
    <w:lvl w:ilvl="2">
      <w:start w:val="1"/>
      <w:numFmt w:val="bullet"/>
      <w:isLgl w:val="false"/>
      <w:suff w:val="tab"/>
      <w:lvlText w:val="Ø"/>
      <w:lvlJc w:val="left"/>
      <w:pPr>
        <w:pStyle w:val="939"/>
        <w:ind w:left="11340" w:hanging="420"/>
      </w:pPr>
      <w:rPr>
        <w:rFonts w:ascii="Wingdings" w:hAnsi="Wingdings"/>
        <w:b w:val="0"/>
      </w:rPr>
    </w:lvl>
    <w:lvl w:ilvl="3">
      <w:start w:val="1"/>
      <w:numFmt w:val="decimal"/>
      <w:isLgl w:val="false"/>
      <w:suff w:val="tab"/>
      <w:lvlText w:val="%4."/>
      <w:lvlJc w:val="left"/>
      <w:pPr>
        <w:pStyle w:val="939"/>
        <w:ind w:left="1680" w:hanging="420"/>
      </w:pPr>
      <w:rPr>
        <w:rFonts w:ascii="宋体" w:hAnsi="宋体"/>
      </w:rPr>
    </w:lvl>
    <w:lvl w:ilvl="4">
      <w:start w:val="1"/>
      <w:numFmt w:val="lowerLetter"/>
      <w:isLgl w:val="false"/>
      <w:suff w:val="tab"/>
      <w:lvlText w:val="%5)"/>
      <w:lvlJc w:val="left"/>
      <w:pPr>
        <w:pStyle w:val="939"/>
        <w:ind w:left="2100" w:hanging="420"/>
      </w:pPr>
      <w:rPr>
        <w:rFonts w:ascii="宋体" w:hAnsi="宋体"/>
      </w:rPr>
    </w:lvl>
    <w:lvl w:ilvl="5">
      <w:start w:val="1"/>
      <w:numFmt w:val="lowerRoman"/>
      <w:isLgl w:val="false"/>
      <w:suff w:val="tab"/>
      <w:lvlText w:val="%6."/>
      <w:lvlJc w:val="right"/>
      <w:pPr>
        <w:pStyle w:val="939"/>
        <w:ind w:left="2520" w:hanging="420"/>
      </w:pPr>
      <w:rPr>
        <w:rFonts w:ascii="宋体" w:hAnsi="宋体"/>
      </w:rPr>
    </w:lvl>
    <w:lvl w:ilvl="6">
      <w:start w:val="1"/>
      <w:numFmt w:val="decimal"/>
      <w:isLgl w:val="false"/>
      <w:suff w:val="tab"/>
      <w:lvlText w:val="%7."/>
      <w:lvlJc w:val="left"/>
      <w:pPr>
        <w:pStyle w:val="939"/>
        <w:ind w:left="2940" w:hanging="420"/>
      </w:pPr>
      <w:rPr>
        <w:rFonts w:ascii="宋体" w:hAnsi="宋体"/>
      </w:rPr>
    </w:lvl>
    <w:lvl w:ilvl="7">
      <w:start w:val="1"/>
      <w:numFmt w:val="lowerLetter"/>
      <w:isLgl w:val="false"/>
      <w:suff w:val="tab"/>
      <w:lvlText w:val="%8)"/>
      <w:lvlJc w:val="left"/>
      <w:pPr>
        <w:pStyle w:val="939"/>
        <w:ind w:left="3360" w:hanging="420"/>
      </w:pPr>
      <w:rPr>
        <w:rFonts w:ascii="宋体" w:hAnsi="宋体"/>
      </w:rPr>
    </w:lvl>
    <w:lvl w:ilvl="8">
      <w:start w:val="1"/>
      <w:numFmt w:val="lowerRoman"/>
      <w:isLgl w:val="false"/>
      <w:suff w:val="tab"/>
      <w:lvlText w:val="%9."/>
      <w:lvlJc w:val="right"/>
      <w:pPr>
        <w:pStyle w:val="939"/>
        <w:ind w:left="3780" w:hanging="420"/>
      </w:pPr>
      <w:rPr>
        <w:rFonts w:ascii="宋体" w:hAnsi="宋体"/>
      </w:rPr>
    </w:lvl>
  </w:abstractNum>
  <w:abstractNum w:abstractNumId="6">
    <w:multiLevelType w:val="hybridMultilevel"/>
    <w:lvl w:ilvl="0">
      <w:start w:val="1"/>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pPr>
      <w:rPr>
        <w:rFonts w:ascii="SimSun" w:hAnsi="SimSun" w:eastAsia="SimSun" w:cs="SimSun"/>
      </w:rPr>
    </w:lvl>
    <w:lvl w:ilvl="1">
      <w:start w:val="1"/>
      <w:numFmt w:val="decimal"/>
      <w:isLgl w:val="false"/>
      <w:suff w:val="tab"/>
      <w:lvlText w:val="(%2)"/>
      <w:lvlJc w:val="left"/>
      <w:pPr>
        <w:ind w:left="1260" w:hanging="720"/>
      </w:pPr>
      <w:rPr>
        <w:rFonts w:ascii="SimSun" w:hAnsi="SimSun" w:eastAsia="SimSun" w:cs="SimSun"/>
      </w:rPr>
    </w:lvl>
    <w:lvl w:ilvl="2">
      <w:start w:val="1"/>
      <w:numFmt w:val="bullet"/>
      <w:isLgl w:val="false"/>
      <w:suff w:val="tab"/>
      <w:lvlText w:val="&quot;Ø&quot;"/>
      <w:lvlJc w:val="left"/>
      <w:pPr>
        <w:ind w:left="11340" w:hanging="420"/>
      </w:pPr>
      <w:rPr>
        <w:rFonts w:hint="default" w:ascii="Wingdings" w:hAnsi="Wingdings" w:eastAsia="Wingdings" w:cs="Wingdings"/>
      </w:rPr>
    </w:lvl>
    <w:lvl w:ilvl="3">
      <w:start w:val="1"/>
      <w:numFmt w:val="decimal"/>
      <w:isLgl w:val="false"/>
      <w:suff w:val="tab"/>
      <w:lvlText w:val="%4."/>
      <w:lvlJc w:val="left"/>
      <w:pPr>
        <w:ind w:left="1680" w:hanging="420"/>
      </w:pPr>
      <w:rPr>
        <w:rFonts w:ascii="SimSun" w:hAnsi="SimSun" w:eastAsia="SimSun" w:cs="SimSun"/>
      </w:rPr>
    </w:lvl>
    <w:lvl w:ilvl="4">
      <w:start w:val="1"/>
      <w:numFmt w:val="lowerLetter"/>
      <w:isLgl w:val="false"/>
      <w:suff w:val="tab"/>
      <w:lvlText w:val="%5)"/>
      <w:lvlJc w:val="left"/>
      <w:pPr>
        <w:ind w:left="2100" w:hanging="420"/>
      </w:pPr>
      <w:rPr>
        <w:rFonts w:ascii="SimSun" w:hAnsi="SimSun" w:eastAsia="SimSun" w:cs="SimSun"/>
      </w:rPr>
    </w:lvl>
    <w:lvl w:ilvl="5">
      <w:start w:val="1"/>
      <w:numFmt w:val="decimal"/>
      <w:isLgl w:val="false"/>
      <w:suff w:val="tab"/>
      <w:lvlText w:val="%6."/>
      <w:lvlJc w:val="right"/>
      <w:pPr>
        <w:ind w:left="2520" w:hanging="420"/>
      </w:pPr>
      <w:rPr>
        <w:rFonts w:ascii="SimSun" w:hAnsi="SimSun" w:eastAsia="SimSun" w:cs="SimSun"/>
      </w:rPr>
    </w:lvl>
    <w:lvl w:ilvl="6">
      <w:start w:val="1"/>
      <w:numFmt w:val="decimal"/>
      <w:isLgl w:val="false"/>
      <w:suff w:val="tab"/>
      <w:lvlText w:val="%7."/>
      <w:lvlJc w:val="left"/>
      <w:pPr>
        <w:ind w:left="2940" w:hanging="420"/>
      </w:pPr>
      <w:rPr>
        <w:rFonts w:ascii="SimSun" w:hAnsi="SimSun" w:eastAsia="SimSun" w:cs="SimSun"/>
      </w:rPr>
    </w:lvl>
    <w:lvl w:ilvl="7">
      <w:start w:val="1"/>
      <w:numFmt w:val="lowerLetter"/>
      <w:isLgl w:val="false"/>
      <w:suff w:val="tab"/>
      <w:lvlText w:val="%8)"/>
      <w:lvlJc w:val="left"/>
      <w:pPr>
        <w:ind w:left="3360" w:hanging="420"/>
      </w:pPr>
      <w:rPr>
        <w:rFonts w:ascii="SimSun" w:hAnsi="SimSun" w:eastAsia="SimSun" w:cs="SimSun"/>
      </w:rPr>
    </w:lvl>
    <w:lvl w:ilvl="8">
      <w:start w:val="1"/>
      <w:numFmt w:val="decimal"/>
      <w:isLgl w:val="false"/>
      <w:suff w:val="tab"/>
      <w:lvlText w:val="%9."/>
      <w:lvlJc w:val="right"/>
      <w:pPr>
        <w:ind w:left="3780" w:hanging="420"/>
      </w:pPr>
      <w:rPr>
        <w:rFonts w:ascii="SimSun" w:hAnsi="SimSun" w:eastAsia="SimSun" w:cs="SimSun"/>
      </w:rPr>
    </w:lvl>
  </w:abstractNum>
  <w:num w:numId="1">
    <w:abstractNumId w:val="0"/>
  </w:num>
  <w:num w:numId="2">
    <w:abstractNumId w:val="6"/>
  </w:num>
  <w:num w:numId="3">
    <w:abstractNumId w:val="2"/>
  </w:num>
  <w:num w:numId="4">
    <w:abstractNumId w:val="3"/>
  </w:num>
  <w:num w:numId="5">
    <w:abstractNumId w:val="4"/>
  </w:num>
  <w:num w:numId="6">
    <w:abstractNumId w:val="5"/>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39"/>
    <w:next w:val="939"/>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39"/>
    <w:next w:val="939"/>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39"/>
    <w:next w:val="939"/>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39"/>
    <w:next w:val="93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39"/>
    <w:next w:val="939"/>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39"/>
    <w:next w:val="939"/>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39"/>
    <w:next w:val="939"/>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39"/>
    <w:next w:val="939"/>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39"/>
    <w:next w:val="939"/>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39"/>
    <w:link w:val="939"/>
    <w:qFormat/>
    <w:pPr>
      <w:jc w:val="both"/>
      <w:widowControl w:val="off"/>
    </w:pPr>
    <w:rPr>
      <w:sz w:val="21"/>
      <w:lang w:val="en-US" w:eastAsia="zh-CN" w:bidi="ar-SA"/>
    </w:rPr>
  </w:style>
  <w:style w:type="paragraph" w:styleId="940">
    <w:name w:val="标题 1"/>
    <w:basedOn w:val="939"/>
    <w:next w:val="939"/>
    <w:link w:val="939"/>
    <w:qFormat/>
    <w:pPr>
      <w:ind w:left="0" w:firstLine="0"/>
      <w:jc w:val="both"/>
      <w:spacing w:before="340" w:after="330" w:line="576" w:lineRule="auto"/>
      <w:widowControl w:val="off"/>
      <w:outlineLvl w:val="0"/>
    </w:pPr>
    <w:rPr>
      <w:rFonts w:ascii="Times New Roman" w:eastAsia="宋体"/>
      <w:b/>
      <w:caps w:val="0"/>
      <w:smallCaps w:val="0"/>
      <w:vanish w:val="0"/>
      <w:sz w:val="44"/>
    </w:rPr>
  </w:style>
  <w:style w:type="paragraph" w:styleId="941">
    <w:name w:val="标题 2"/>
    <w:basedOn w:val="939"/>
    <w:next w:val="939"/>
    <w:link w:val="939"/>
    <w:qFormat/>
    <w:pPr>
      <w:ind w:left="0" w:firstLine="0"/>
      <w:jc w:val="both"/>
      <w:spacing w:before="260" w:after="260" w:line="415" w:lineRule="auto"/>
      <w:widowControl w:val="off"/>
      <w:outlineLvl w:val="1"/>
    </w:pPr>
    <w:rPr>
      <w:rFonts w:ascii="Arial" w:eastAsia="黑体"/>
      <w:b/>
      <w:caps w:val="0"/>
      <w:smallCaps w:val="0"/>
      <w:vanish w:val="0"/>
      <w:sz w:val="32"/>
    </w:rPr>
  </w:style>
  <w:style w:type="paragraph" w:styleId="942">
    <w:name w:val="标题 3"/>
    <w:basedOn w:val="939"/>
    <w:next w:val="939"/>
    <w:link w:val="939"/>
    <w:qFormat/>
    <w:pPr>
      <w:ind w:left="0" w:firstLine="0"/>
      <w:jc w:val="both"/>
      <w:spacing w:before="260" w:after="260" w:line="415" w:lineRule="auto"/>
      <w:widowControl w:val="off"/>
      <w:outlineLvl w:val="2"/>
    </w:pPr>
    <w:rPr>
      <w:rFonts w:ascii="Times New Roman" w:eastAsia="宋体"/>
      <w:b/>
      <w:caps w:val="0"/>
      <w:smallCaps w:val="0"/>
      <w:vanish w:val="0"/>
      <w:sz w:val="32"/>
    </w:rPr>
  </w:style>
  <w:style w:type="paragraph" w:styleId="943">
    <w:name w:val="标题 4"/>
    <w:basedOn w:val="939"/>
    <w:next w:val="939"/>
    <w:link w:val="939"/>
    <w:qFormat/>
    <w:pPr>
      <w:ind w:left="0" w:firstLine="0"/>
      <w:jc w:val="both"/>
      <w:spacing w:before="280" w:after="290" w:line="376" w:lineRule="auto"/>
      <w:widowControl w:val="off"/>
      <w:outlineLvl w:val="3"/>
    </w:pPr>
    <w:rPr>
      <w:rFonts w:ascii="Arial" w:eastAsia="黑体"/>
      <w:b/>
      <w:caps w:val="0"/>
      <w:smallCaps w:val="0"/>
      <w:vanish w:val="0"/>
      <w:sz w:val="28"/>
    </w:rPr>
  </w:style>
  <w:style w:type="paragraph" w:styleId="944">
    <w:name w:val="标题 5"/>
    <w:next w:val="939"/>
    <w:link w:val="939"/>
    <w:qFormat/>
    <w:pPr>
      <w:ind w:left="1800" w:hanging="400"/>
      <w:jc w:val="both"/>
      <w:spacing w:after="160"/>
      <w:outlineLvl w:val="4"/>
    </w:pPr>
    <w:rPr>
      <w:sz w:val="21"/>
      <w:lang w:val="en-US" w:eastAsia="zh-CN" w:bidi="ar-SA"/>
    </w:rPr>
  </w:style>
  <w:style w:type="paragraph" w:styleId="945">
    <w:name w:val="标题 6"/>
    <w:next w:val="939"/>
    <w:link w:val="939"/>
    <w:qFormat/>
    <w:pPr>
      <w:ind w:left="2000" w:hanging="400"/>
      <w:jc w:val="both"/>
      <w:spacing w:after="160"/>
      <w:outlineLvl w:val="5"/>
    </w:pPr>
    <w:rPr>
      <w:b/>
      <w:sz w:val="21"/>
      <w:lang w:val="en-US" w:eastAsia="zh-CN" w:bidi="ar-SA"/>
    </w:rPr>
  </w:style>
  <w:style w:type="paragraph" w:styleId="946">
    <w:name w:val="标题 7"/>
    <w:next w:val="939"/>
    <w:link w:val="939"/>
    <w:qFormat/>
    <w:pPr>
      <w:ind w:left="2200" w:hanging="400"/>
      <w:jc w:val="both"/>
      <w:spacing w:after="160"/>
      <w:outlineLvl w:val="6"/>
    </w:pPr>
    <w:rPr>
      <w:sz w:val="21"/>
      <w:lang w:val="en-US" w:eastAsia="zh-CN" w:bidi="ar-SA"/>
    </w:rPr>
  </w:style>
  <w:style w:type="paragraph" w:styleId="947">
    <w:name w:val="标题 8"/>
    <w:next w:val="939"/>
    <w:link w:val="939"/>
    <w:qFormat/>
    <w:pPr>
      <w:ind w:left="2400" w:hanging="400"/>
      <w:jc w:val="both"/>
      <w:spacing w:after="160"/>
      <w:outlineLvl w:val="7"/>
    </w:pPr>
    <w:rPr>
      <w:sz w:val="21"/>
      <w:lang w:val="en-US" w:eastAsia="zh-CN" w:bidi="ar-SA"/>
    </w:rPr>
  </w:style>
  <w:style w:type="paragraph" w:styleId="948">
    <w:name w:val="标题 9"/>
    <w:next w:val="939"/>
    <w:link w:val="939"/>
    <w:qFormat/>
    <w:pPr>
      <w:ind w:left="2600" w:hanging="400"/>
      <w:jc w:val="both"/>
      <w:spacing w:after="160"/>
      <w:outlineLvl w:val="8"/>
    </w:pPr>
    <w:rPr>
      <w:sz w:val="21"/>
      <w:lang w:val="en-US" w:eastAsia="zh-CN" w:bidi="ar-SA"/>
    </w:rPr>
  </w:style>
  <w:style w:type="character" w:styleId="949">
    <w:name w:val="默认段落字体"/>
    <w:next w:val="949"/>
    <w:link w:val="939"/>
    <w:rPr>
      <w:vanish w:val="0"/>
      <w:sz w:val="20"/>
    </w:rPr>
  </w:style>
  <w:style w:type="table" w:styleId="950">
    <w:name w:val="普通表格"/>
    <w:next w:val="950"/>
    <w:link w:val="939"/>
    <w:semiHidden/>
    <w:pPr>
      <w:ind w:left="0" w:firstLine="0"/>
      <w:spacing w:before="0" w:after="0" w:line="240" w:lineRule="auto"/>
      <w:widowControl/>
    </w:pPr>
    <w:rPr>
      <w:vanish w:val="0"/>
      <w:sz w:val="20"/>
    </w:rPr>
    <w:tblPr/>
  </w:style>
  <w:style w:type="paragraph" w:styleId="951">
    <w:name w:val="目录 7"/>
    <w:next w:val="939"/>
    <w:link w:val="939"/>
    <w:pPr>
      <w:ind w:left="2125"/>
      <w:jc w:val="both"/>
    </w:pPr>
    <w:rPr>
      <w:sz w:val="21"/>
      <w:lang w:val="en-US" w:eastAsia="zh-CN" w:bidi="ar-SA"/>
    </w:rPr>
  </w:style>
  <w:style w:type="paragraph" w:styleId="952">
    <w:name w:val="正文缩进"/>
    <w:basedOn w:val="939"/>
    <w:next w:val="939"/>
    <w:link w:val="939"/>
    <w:pPr>
      <w:ind w:left="3400"/>
      <w:jc w:val="both"/>
    </w:pPr>
    <w:rPr>
      <w:sz w:val="21"/>
      <w:lang w:val="en-US" w:eastAsia="zh-CN" w:bidi="ar-SA"/>
    </w:rPr>
  </w:style>
  <w:style w:type="paragraph" w:styleId="953">
    <w:name w:val="文档结构图"/>
    <w:basedOn w:val="939"/>
    <w:next w:val="952"/>
    <w:link w:val="939"/>
    <w:pPr>
      <w:ind w:left="0" w:firstLine="0"/>
      <w:jc w:val="both"/>
      <w:spacing w:before="0" w:after="0" w:line="240" w:lineRule="auto"/>
      <w:shd w:val="clear" w:color="000000" w:fill="000080"/>
      <w:widowControl w:val="off"/>
    </w:pPr>
    <w:rPr>
      <w:rFonts w:ascii="Times New Roman" w:eastAsia="宋体"/>
      <w:caps w:val="0"/>
      <w:smallCaps w:val="0"/>
      <w:vanish w:val="0"/>
      <w:sz w:val="21"/>
    </w:rPr>
  </w:style>
  <w:style w:type="paragraph" w:styleId="954">
    <w:name w:val="批注文字"/>
    <w:basedOn w:val="939"/>
    <w:next w:val="955"/>
    <w:link w:val="939"/>
    <w:pPr>
      <w:ind w:left="0" w:firstLine="0"/>
      <w:jc w:val="both"/>
      <w:spacing w:before="0" w:after="0" w:line="240" w:lineRule="auto"/>
      <w:widowControl w:val="off"/>
    </w:pPr>
    <w:rPr>
      <w:rFonts w:ascii="Times New Roman" w:eastAsia="宋体"/>
      <w:caps w:val="0"/>
      <w:smallCaps w:val="0"/>
      <w:vanish w:val="0"/>
      <w:sz w:val="21"/>
    </w:rPr>
  </w:style>
  <w:style w:type="paragraph" w:styleId="955">
    <w:name w:val="目录 21"/>
    <w:next w:val="939"/>
    <w:link w:val="939"/>
    <w:pPr>
      <w:jc w:val="both"/>
    </w:pPr>
    <w:rPr>
      <w:sz w:val="21"/>
      <w:lang w:val="en-US" w:eastAsia="zh-CN" w:bidi="ar-SA"/>
    </w:rPr>
  </w:style>
  <w:style w:type="paragraph" w:styleId="956">
    <w:name w:val="正文文本"/>
    <w:basedOn w:val="939"/>
    <w:next w:val="939"/>
    <w:link w:val="939"/>
    <w:pPr>
      <w:ind w:left="0" w:firstLine="0"/>
      <w:jc w:val="both"/>
      <w:spacing w:before="0" w:after="0" w:line="240" w:lineRule="auto"/>
      <w:widowControl w:val="off"/>
    </w:pPr>
    <w:rPr>
      <w:rFonts w:ascii="Times New Roman" w:eastAsia="宋体"/>
      <w:caps w:val="0"/>
      <w:smallCaps w:val="0"/>
      <w:vanish w:val="0"/>
      <w:sz w:val="28"/>
    </w:rPr>
  </w:style>
  <w:style w:type="paragraph" w:styleId="957">
    <w:name w:val="正文文本缩进"/>
    <w:basedOn w:val="939"/>
    <w:next w:val="958"/>
    <w:link w:val="939"/>
    <w:pPr>
      <w:ind w:left="0" w:firstLine="560"/>
      <w:jc w:val="both"/>
      <w:spacing w:before="0" w:after="0" w:line="300" w:lineRule="auto"/>
      <w:widowControl w:val="off"/>
    </w:pPr>
    <w:rPr>
      <w:rFonts w:ascii="Times New Roman" w:eastAsia="宋体"/>
      <w:caps w:val="0"/>
      <w:smallCaps w:val="0"/>
      <w:vanish w:val="0"/>
      <w:sz w:val="28"/>
    </w:rPr>
  </w:style>
  <w:style w:type="paragraph" w:styleId="958">
    <w:name w:val="目录 51"/>
    <w:next w:val="939"/>
    <w:link w:val="939"/>
    <w:pPr>
      <w:ind w:left="1275"/>
      <w:jc w:val="both"/>
    </w:pPr>
    <w:rPr>
      <w:sz w:val="21"/>
      <w:lang w:val="en-US" w:eastAsia="zh-CN" w:bidi="ar-SA"/>
    </w:rPr>
  </w:style>
  <w:style w:type="paragraph" w:styleId="959">
    <w:name w:val="目录 5"/>
    <w:next w:val="939"/>
    <w:link w:val="939"/>
    <w:pPr>
      <w:ind w:left="1275"/>
      <w:jc w:val="both"/>
    </w:pPr>
    <w:rPr>
      <w:sz w:val="21"/>
      <w:lang w:val="en-US" w:eastAsia="zh-CN" w:bidi="ar-SA"/>
    </w:rPr>
  </w:style>
  <w:style w:type="paragraph" w:styleId="960">
    <w:name w:val="目录 3"/>
    <w:next w:val="939"/>
    <w:link w:val="939"/>
    <w:pPr>
      <w:ind w:left="425"/>
      <w:jc w:val="both"/>
    </w:pPr>
    <w:rPr>
      <w:sz w:val="21"/>
      <w:lang w:val="en-US" w:eastAsia="zh-CN" w:bidi="ar-SA"/>
    </w:rPr>
  </w:style>
  <w:style w:type="paragraph" w:styleId="961">
    <w:name w:val="纯文本"/>
    <w:basedOn w:val="939"/>
    <w:next w:val="962"/>
    <w:link w:val="939"/>
    <w:pPr>
      <w:ind w:left="0" w:firstLine="0"/>
      <w:jc w:val="both"/>
      <w:spacing w:before="0" w:after="0" w:line="240" w:lineRule="auto"/>
      <w:widowControl w:val="off"/>
    </w:pPr>
    <w:rPr>
      <w:rFonts w:ascii="宋体" w:eastAsia="楷体_GB2312"/>
      <w:caps w:val="0"/>
      <w:smallCaps w:val="0"/>
      <w:vanish w:val="0"/>
      <w:sz w:val="28"/>
    </w:rPr>
  </w:style>
  <w:style w:type="paragraph" w:styleId="962">
    <w:name w:val="目录 71"/>
    <w:next w:val="939"/>
    <w:link w:val="939"/>
    <w:pPr>
      <w:ind w:left="2125"/>
      <w:jc w:val="both"/>
    </w:pPr>
    <w:rPr>
      <w:sz w:val="21"/>
      <w:lang w:val="en-US" w:eastAsia="zh-CN" w:bidi="ar-SA"/>
    </w:rPr>
  </w:style>
  <w:style w:type="paragraph" w:styleId="963">
    <w:name w:val="目录 8"/>
    <w:next w:val="939"/>
    <w:link w:val="939"/>
    <w:pPr>
      <w:ind w:left="2550"/>
      <w:jc w:val="both"/>
    </w:pPr>
    <w:rPr>
      <w:sz w:val="21"/>
      <w:lang w:val="en-US" w:eastAsia="zh-CN" w:bidi="ar-SA"/>
    </w:rPr>
  </w:style>
  <w:style w:type="paragraph" w:styleId="964">
    <w:name w:val="日期"/>
    <w:basedOn w:val="939"/>
    <w:next w:val="939"/>
    <w:link w:val="939"/>
    <w:pPr>
      <w:ind w:left="0" w:firstLine="0"/>
      <w:jc w:val="both"/>
      <w:spacing w:before="0" w:after="0" w:line="240" w:lineRule="auto"/>
      <w:widowControl w:val="off"/>
    </w:pPr>
    <w:rPr>
      <w:rFonts w:ascii="Times New Roman" w:eastAsia="宋体"/>
      <w:caps w:val="0"/>
      <w:smallCaps w:val="0"/>
      <w:vanish w:val="0"/>
      <w:sz w:val="21"/>
    </w:rPr>
  </w:style>
  <w:style w:type="paragraph" w:styleId="965">
    <w:name w:val="正文文本缩进 2"/>
    <w:basedOn w:val="939"/>
    <w:next w:val="966"/>
    <w:link w:val="939"/>
    <w:pPr>
      <w:ind w:left="840" w:firstLine="0"/>
      <w:jc w:val="both"/>
      <w:spacing w:before="0" w:after="0" w:line="360" w:lineRule="auto"/>
      <w:widowControl w:val="off"/>
    </w:pPr>
    <w:rPr>
      <w:rFonts w:ascii="宋体" w:eastAsia="宋体"/>
      <w:caps w:val="0"/>
      <w:smallCaps w:val="0"/>
      <w:vanish w:val="0"/>
      <w:sz w:val="21"/>
    </w:rPr>
  </w:style>
  <w:style w:type="paragraph" w:styleId="966">
    <w:name w:val="目录 91"/>
    <w:next w:val="939"/>
    <w:link w:val="939"/>
    <w:pPr>
      <w:ind w:left="2975"/>
      <w:jc w:val="both"/>
    </w:pPr>
    <w:rPr>
      <w:sz w:val="21"/>
      <w:lang w:val="en-US" w:eastAsia="zh-CN" w:bidi="ar-SA"/>
    </w:rPr>
  </w:style>
  <w:style w:type="paragraph" w:styleId="967">
    <w:name w:val="批注框文本"/>
    <w:basedOn w:val="939"/>
    <w:next w:val="968"/>
    <w:link w:val="939"/>
    <w:pPr>
      <w:ind w:left="0" w:firstLine="0"/>
      <w:jc w:val="both"/>
      <w:spacing w:before="0" w:after="0" w:line="240" w:lineRule="auto"/>
      <w:widowControl w:val="off"/>
    </w:pPr>
    <w:rPr>
      <w:rFonts w:ascii="Times New Roman" w:eastAsia="宋体"/>
      <w:caps w:val="0"/>
      <w:smallCaps w:val="0"/>
      <w:vanish w:val="0"/>
      <w:sz w:val="18"/>
    </w:rPr>
  </w:style>
  <w:style w:type="paragraph" w:styleId="968">
    <w:name w:val="正文缩进1"/>
    <w:next w:val="939"/>
    <w:link w:val="939"/>
    <w:pPr>
      <w:ind w:left="3400"/>
      <w:jc w:val="both"/>
    </w:pPr>
    <w:rPr>
      <w:sz w:val="21"/>
      <w:lang w:val="en-US" w:eastAsia="zh-CN" w:bidi="ar-SA"/>
    </w:rPr>
  </w:style>
  <w:style w:type="paragraph" w:styleId="969">
    <w:name w:val="页脚"/>
    <w:basedOn w:val="939"/>
    <w:next w:val="939"/>
    <w:link w:val="939"/>
    <w:pPr>
      <w:ind w:left="0" w:firstLine="0"/>
      <w:jc w:val="both"/>
      <w:spacing w:before="0" w:after="0" w:line="240" w:lineRule="auto"/>
      <w:widowControl w:val="off"/>
    </w:pPr>
    <w:rPr>
      <w:rFonts w:ascii="Times New Roman" w:eastAsia="宋体"/>
      <w:caps w:val="0"/>
      <w:smallCaps w:val="0"/>
      <w:vanish w:val="0"/>
      <w:sz w:val="18"/>
    </w:rPr>
  </w:style>
  <w:style w:type="paragraph" w:styleId="970">
    <w:name w:val="页眉"/>
    <w:basedOn w:val="939"/>
    <w:next w:val="939"/>
    <w:link w:val="939"/>
    <w:pPr>
      <w:ind w:left="0" w:firstLine="0"/>
      <w:jc w:val="center"/>
      <w:spacing w:before="0" w:after="0" w:line="240" w:lineRule="auto"/>
      <w:widowControl w:val="off"/>
    </w:pPr>
    <w:rPr>
      <w:rFonts w:ascii="Times New Roman" w:eastAsia="宋体"/>
      <w:caps w:val="0"/>
      <w:smallCaps w:val="0"/>
      <w:vanish w:val="0"/>
      <w:sz w:val="18"/>
    </w:rPr>
  </w:style>
  <w:style w:type="paragraph" w:styleId="971">
    <w:name w:val="目录 1"/>
    <w:basedOn w:val="939"/>
    <w:next w:val="939"/>
    <w:link w:val="939"/>
    <w:uiPriority w:val="39"/>
    <w:unhideWhenUsed/>
  </w:style>
  <w:style w:type="paragraph" w:styleId="972">
    <w:name w:val="目录 4"/>
    <w:next w:val="939"/>
    <w:link w:val="939"/>
    <w:pPr>
      <w:ind w:left="850"/>
      <w:jc w:val="both"/>
    </w:pPr>
    <w:rPr>
      <w:sz w:val="21"/>
      <w:lang w:val="en-US" w:eastAsia="zh-CN" w:bidi="ar-SA"/>
    </w:rPr>
  </w:style>
  <w:style w:type="paragraph" w:styleId="973">
    <w:name w:val="索引标题"/>
    <w:basedOn w:val="939"/>
    <w:next w:val="939"/>
    <w:link w:val="939"/>
    <w:semiHidden/>
    <w:pPr>
      <w:ind w:left="0" w:firstLine="0"/>
      <w:jc w:val="both"/>
      <w:spacing w:before="0" w:after="0" w:line="240" w:lineRule="auto"/>
      <w:widowControl w:val="off"/>
    </w:pPr>
    <w:rPr>
      <w:rFonts w:ascii="Times New Roman" w:eastAsia="楷体_GB2312"/>
      <w:caps w:val="0"/>
      <w:smallCaps w:val="0"/>
      <w:vanish w:val="0"/>
      <w:sz w:val="26"/>
    </w:rPr>
  </w:style>
  <w:style w:type="paragraph" w:styleId="974">
    <w:name w:val="副标题"/>
    <w:next w:val="939"/>
    <w:link w:val="939"/>
    <w:qFormat/>
    <w:pPr>
      <w:jc w:val="center"/>
      <w:spacing w:after="60"/>
    </w:pPr>
    <w:rPr>
      <w:sz w:val="24"/>
      <w:lang w:val="en-US" w:eastAsia="zh-CN" w:bidi="ar-SA"/>
    </w:rPr>
  </w:style>
  <w:style w:type="paragraph" w:styleId="975">
    <w:name w:val="目录 6"/>
    <w:next w:val="939"/>
    <w:link w:val="939"/>
    <w:pPr>
      <w:ind w:left="1700"/>
      <w:jc w:val="both"/>
    </w:pPr>
    <w:rPr>
      <w:sz w:val="21"/>
      <w:lang w:val="en-US" w:eastAsia="zh-CN" w:bidi="ar-SA"/>
    </w:rPr>
  </w:style>
  <w:style w:type="paragraph" w:styleId="976">
    <w:name w:val="正文文本缩进 3"/>
    <w:basedOn w:val="939"/>
    <w:next w:val="939"/>
    <w:link w:val="939"/>
    <w:pPr>
      <w:ind w:left="0" w:firstLine="480"/>
      <w:jc w:val="both"/>
      <w:spacing w:before="0" w:after="0" w:line="360" w:lineRule="auto"/>
      <w:widowControl/>
    </w:pPr>
    <w:rPr>
      <w:rFonts w:ascii="Times New Roman" w:eastAsia="宋体"/>
      <w:caps w:val="0"/>
      <w:smallCaps w:val="0"/>
      <w:vanish w:val="0"/>
      <w:sz w:val="24"/>
    </w:rPr>
  </w:style>
  <w:style w:type="paragraph" w:styleId="977">
    <w:name w:val="目录 2"/>
    <w:next w:val="939"/>
    <w:link w:val="939"/>
    <w:pPr>
      <w:jc w:val="both"/>
    </w:pPr>
    <w:rPr>
      <w:sz w:val="21"/>
      <w:lang w:val="en-US" w:eastAsia="zh-CN" w:bidi="ar-SA"/>
    </w:rPr>
  </w:style>
  <w:style w:type="paragraph" w:styleId="978">
    <w:name w:val="目录 9"/>
    <w:next w:val="939"/>
    <w:link w:val="939"/>
    <w:pPr>
      <w:ind w:left="2975"/>
      <w:jc w:val="both"/>
    </w:pPr>
    <w:rPr>
      <w:sz w:val="21"/>
      <w:lang w:val="en-US" w:eastAsia="zh-CN" w:bidi="ar-SA"/>
    </w:rPr>
  </w:style>
  <w:style w:type="paragraph" w:styleId="979">
    <w:name w:val="HTML 预设格式"/>
    <w:basedOn w:val="939"/>
    <w:next w:val="939"/>
    <w:link w:val="939"/>
    <w:pPr>
      <w:ind w:left="0" w:firstLine="0"/>
      <w:jc w:val="both"/>
      <w:spacing w:before="0" w:after="0" w:line="240" w:lineRule="auto"/>
      <w:widowControl/>
    </w:pPr>
    <w:rPr>
      <w:rFonts w:ascii="宋体" w:eastAsia="宋体"/>
      <w:caps w:val="0"/>
      <w:smallCaps w:val="0"/>
      <w:vanish w:val="0"/>
      <w:sz w:val="24"/>
    </w:rPr>
  </w:style>
  <w:style w:type="paragraph" w:styleId="980">
    <w:name w:val="普通(网站)"/>
    <w:basedOn w:val="939"/>
    <w:next w:val="980"/>
    <w:link w:val="939"/>
    <w:pPr>
      <w:ind w:left="0" w:firstLine="0"/>
      <w:jc w:val="both"/>
      <w:spacing w:before="280" w:after="280" w:line="240" w:lineRule="auto"/>
      <w:widowControl/>
    </w:pPr>
    <w:rPr>
      <w:rFonts w:ascii="Arial Unicode MS" w:eastAsia="Times New Roman"/>
      <w:caps w:val="0"/>
      <w:smallCaps w:val="0"/>
      <w:vanish w:val="0"/>
      <w:sz w:val="24"/>
    </w:rPr>
  </w:style>
  <w:style w:type="paragraph" w:styleId="981">
    <w:name w:val="索引 1"/>
    <w:basedOn w:val="939"/>
    <w:next w:val="939"/>
    <w:link w:val="939"/>
    <w:semiHidden/>
    <w:pPr>
      <w:ind w:left="0" w:firstLine="0"/>
      <w:jc w:val="both"/>
      <w:spacing w:before="0" w:after="0" w:line="240" w:lineRule="auto"/>
      <w:widowControl w:val="off"/>
    </w:pPr>
    <w:rPr>
      <w:rFonts w:ascii="Times New Roman" w:eastAsia="宋体"/>
      <w:caps w:val="0"/>
      <w:smallCaps w:val="0"/>
      <w:vanish w:val="0"/>
      <w:sz w:val="21"/>
    </w:rPr>
  </w:style>
  <w:style w:type="paragraph" w:styleId="982">
    <w:name w:val="批注主题"/>
    <w:next w:val="955"/>
    <w:link w:val="939"/>
    <w:pPr>
      <w:widowControl w:val="off"/>
    </w:pPr>
    <w:rPr>
      <w:b/>
      <w:sz w:val="21"/>
      <w:lang w:val="en-US" w:eastAsia="zh-CN" w:bidi="ar-SA"/>
    </w:rPr>
  </w:style>
  <w:style w:type="table" w:styleId="983">
    <w:name w:val="网格型"/>
    <w:basedOn w:val="950"/>
    <w:next w:val="983"/>
    <w:link w:val="939"/>
    <w:pPr>
      <w:ind w:left="0" w:firstLine="0"/>
      <w:jc w:val="both"/>
      <w:spacing w:before="0" w:after="0" w:line="240" w:lineRule="auto"/>
      <w:widowControl w:val="off"/>
    </w:pPr>
    <w:rPr>
      <w:vanish w:val="0"/>
      <w:sz w:val="20"/>
    </w:rPr>
    <w:tblPr/>
  </w:style>
  <w:style w:type="character" w:styleId="984">
    <w:name w:val="要点"/>
    <w:next w:val="984"/>
    <w:link w:val="939"/>
    <w:qFormat/>
    <w:rPr>
      <w:b/>
      <w:vanish w:val="0"/>
      <w:sz w:val="20"/>
    </w:rPr>
  </w:style>
  <w:style w:type="character" w:styleId="985">
    <w:name w:val="页码"/>
    <w:next w:val="985"/>
    <w:link w:val="939"/>
    <w:rPr>
      <w:vanish w:val="0"/>
      <w:sz w:val="20"/>
    </w:rPr>
  </w:style>
  <w:style w:type="character" w:styleId="986">
    <w:name w:val="已访问的超链接"/>
    <w:next w:val="986"/>
    <w:link w:val="939"/>
    <w:rPr>
      <w:vanish w:val="0"/>
      <w:color w:val="800080"/>
      <w:sz w:val="20"/>
      <w:u w:val="single"/>
    </w:rPr>
  </w:style>
  <w:style w:type="character" w:styleId="987">
    <w:name w:val="强调"/>
    <w:next w:val="987"/>
    <w:link w:val="939"/>
    <w:qFormat/>
    <w:rPr>
      <w:i/>
      <w:vanish w:val="0"/>
      <w:sz w:val="20"/>
    </w:rPr>
  </w:style>
  <w:style w:type="character" w:styleId="988">
    <w:name w:val="超链接"/>
    <w:next w:val="988"/>
    <w:link w:val="939"/>
    <w:rPr>
      <w:vanish w:val="0"/>
      <w:color w:val="0000ff"/>
      <w:sz w:val="20"/>
      <w:u w:val="single"/>
    </w:rPr>
  </w:style>
  <w:style w:type="character" w:styleId="989">
    <w:name w:val="批注引用"/>
    <w:next w:val="989"/>
    <w:link w:val="939"/>
    <w:rPr>
      <w:vanish w:val="0"/>
      <w:sz w:val="20"/>
    </w:rPr>
  </w:style>
  <w:style w:type="character" w:styleId="990">
    <w:name w:val="标题 4 Char"/>
    <w:next w:val="990"/>
    <w:link w:val="939"/>
    <w:rPr>
      <w:b/>
      <w:vanish w:val="0"/>
      <w:sz w:val="20"/>
    </w:rPr>
  </w:style>
  <w:style w:type="character" w:styleId="991">
    <w:name w:val="书籍标题"/>
    <w:next w:val="991"/>
    <w:link w:val="939"/>
    <w:qFormat/>
    <w:rPr>
      <w:b/>
      <w:i/>
      <w:vanish w:val="0"/>
      <w:sz w:val="20"/>
    </w:rPr>
  </w:style>
  <w:style w:type="character" w:styleId="992">
    <w:name w:val="明显强调"/>
    <w:next w:val="992"/>
    <w:link w:val="939"/>
    <w:qFormat/>
    <w:rPr>
      <w:i/>
      <w:vanish w:val="0"/>
      <w:sz w:val="20"/>
    </w:rPr>
  </w:style>
  <w:style w:type="character" w:styleId="993">
    <w:name w:val="Andy_正文 Char"/>
    <w:next w:val="993"/>
    <w:link w:val="939"/>
    <w:qFormat/>
    <w:rPr>
      <w:vanish w:val="0"/>
      <w:sz w:val="20"/>
    </w:rPr>
  </w:style>
  <w:style w:type="character" w:styleId="994">
    <w:name w:val="grame"/>
    <w:next w:val="994"/>
    <w:link w:val="939"/>
  </w:style>
  <w:style w:type="character" w:styleId="995">
    <w:name w:val="纯文本 Char1,正 文 1 Char,普通文字 Char Char1,纯文本 Char Char1,纯文本 Char Char Char,普通文字 Char Char Char,纯文本 Char1 Char Char Char,纯文本 Char Char Char Char Char,纯文本 Char1 Char Char1,普通文字 Char1"/>
    <w:next w:val="995"/>
    <w:link w:val="939"/>
    <w:rPr>
      <w:vanish w:val="0"/>
      <w:sz w:val="20"/>
    </w:rPr>
  </w:style>
  <w:style w:type="character" w:styleId="996">
    <w:name w:val="批注框文本 Char"/>
    <w:next w:val="996"/>
    <w:link w:val="939"/>
    <w:rPr>
      <w:vanish w:val="0"/>
      <w:sz w:val="20"/>
    </w:rPr>
  </w:style>
  <w:style w:type="character" w:styleId="997">
    <w:name w:val="批注文字 Char"/>
    <w:next w:val="997"/>
    <w:link w:val="939"/>
    <w:rPr>
      <w:vanish w:val="0"/>
      <w:sz w:val="20"/>
    </w:rPr>
  </w:style>
  <w:style w:type="character" w:styleId="998">
    <w:name w:val="Plain Text Char Char"/>
    <w:next w:val="998"/>
    <w:link w:val="939"/>
    <w:rPr>
      <w:vanish w:val="0"/>
      <w:sz w:val="20"/>
    </w:rPr>
  </w:style>
  <w:style w:type="character" w:styleId="999">
    <w:name w:val="不明显参考"/>
    <w:next w:val="999"/>
    <w:link w:val="939"/>
    <w:qFormat/>
    <w:rPr>
      <w:vanish w:val="0"/>
      <w:sz w:val="20"/>
    </w:rPr>
  </w:style>
  <w:style w:type="character" w:styleId="1000">
    <w:name w:val="列出段落 Char"/>
    <w:next w:val="1000"/>
    <w:link w:val="939"/>
    <w:rPr>
      <w:vanish w:val="0"/>
      <w:sz w:val="20"/>
    </w:rPr>
  </w:style>
  <w:style w:type="character" w:styleId="1001">
    <w:name w:val="spelle"/>
    <w:next w:val="1001"/>
    <w:link w:val="939"/>
  </w:style>
  <w:style w:type="character" w:styleId="1002">
    <w:name w:val="正文文本缩进 2 Char"/>
    <w:next w:val="1002"/>
    <w:link w:val="939"/>
    <w:rPr>
      <w:vanish w:val="0"/>
      <w:sz w:val="20"/>
    </w:rPr>
  </w:style>
  <w:style w:type="character" w:styleId="1003">
    <w:name w:val="para1"/>
    <w:next w:val="1003"/>
    <w:link w:val="939"/>
    <w:rPr>
      <w:vanish w:val="0"/>
      <w:sz w:val="20"/>
    </w:rPr>
  </w:style>
  <w:style w:type="character" w:styleId="1004">
    <w:name w:val="NormalCharacter1"/>
    <w:next w:val="1004"/>
    <w:link w:val="939"/>
  </w:style>
  <w:style w:type="character" w:styleId="1005">
    <w:name w:val="不明显强调"/>
    <w:next w:val="1005"/>
    <w:link w:val="939"/>
    <w:qFormat/>
    <w:rPr>
      <w:i/>
      <w:vanish w:val="0"/>
      <w:sz w:val="20"/>
    </w:rPr>
  </w:style>
  <w:style w:type="character" w:styleId="1006">
    <w:name w:val="批注主题 Char"/>
    <w:next w:val="1006"/>
    <w:link w:val="939"/>
    <w:rPr>
      <w:b/>
      <w:vanish w:val="0"/>
      <w:sz w:val="20"/>
    </w:rPr>
  </w:style>
  <w:style w:type="character" w:styleId="1007">
    <w:name w:val="title_emph1"/>
    <w:next w:val="1007"/>
    <w:link w:val="939"/>
    <w:rPr>
      <w:b/>
      <w:vanish w:val="0"/>
      <w:sz w:val="20"/>
    </w:rPr>
  </w:style>
  <w:style w:type="character" w:styleId="1008">
    <w:name w:val="明显参考"/>
    <w:next w:val="1008"/>
    <w:link w:val="939"/>
    <w:qFormat/>
    <w:rPr>
      <w:b/>
      <w:vanish w:val="0"/>
      <w:sz w:val="20"/>
    </w:rPr>
  </w:style>
  <w:style w:type="character" w:styleId="1009">
    <w:name w:val="_正文段落 Char"/>
    <w:next w:val="1009"/>
    <w:link w:val="939"/>
    <w:rPr>
      <w:vanish w:val="0"/>
      <w:sz w:val="20"/>
    </w:rPr>
  </w:style>
  <w:style w:type="character" w:styleId="1010">
    <w:name w:val="标题 3 Char"/>
    <w:next w:val="1010"/>
    <w:link w:val="939"/>
    <w:rPr>
      <w:b/>
      <w:vanish w:val="0"/>
      <w:sz w:val="20"/>
    </w:rPr>
  </w:style>
  <w:style w:type="character" w:styleId="1011">
    <w:name w:val="正文缩进 Char,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
    <w:next w:val="1011"/>
    <w:link w:val="939"/>
    <w:rPr>
      <w:vanish w:val="0"/>
      <w:sz w:val="20"/>
    </w:rPr>
  </w:style>
  <w:style w:type="character" w:styleId="1012">
    <w:name w:val="a-size-large1"/>
    <w:next w:val="1012"/>
    <w:link w:val="939"/>
    <w:rPr>
      <w:vanish w:val="0"/>
      <w:sz w:val="20"/>
    </w:rPr>
  </w:style>
  <w:style w:type="paragraph" w:styleId="1013">
    <w:name w:val=" Char Char Char Char Char Char Char Char"/>
    <w:basedOn w:val="939"/>
    <w:next w:val="982"/>
    <w:link w:val="939"/>
    <w:pPr>
      <w:ind w:left="0" w:firstLine="0"/>
      <w:jc w:val="both"/>
      <w:spacing w:before="0" w:after="0" w:line="240" w:lineRule="auto"/>
      <w:widowControl w:val="off"/>
    </w:pPr>
    <w:rPr>
      <w:rFonts w:ascii="Times New Roman" w:eastAsia="宋体"/>
      <w:caps w:val="0"/>
      <w:smallCaps w:val="0"/>
      <w:vanish w:val="0"/>
      <w:sz w:val="21"/>
    </w:rPr>
  </w:style>
  <w:style w:type="paragraph" w:styleId="1014">
    <w:name w:val=" Char Char4 Char"/>
    <w:basedOn w:val="939"/>
    <w:next w:val="1015"/>
    <w:link w:val="939"/>
    <w:pPr>
      <w:ind w:left="0" w:firstLine="0"/>
      <w:jc w:val="both"/>
      <w:spacing w:before="0" w:after="0" w:line="240" w:lineRule="auto"/>
      <w:widowControl w:val="off"/>
    </w:pPr>
    <w:rPr>
      <w:rFonts w:ascii="Tahoma" w:eastAsia="宋体"/>
      <w:caps w:val="0"/>
      <w:smallCaps w:val="0"/>
      <w:vanish w:val="0"/>
      <w:sz w:val="24"/>
    </w:rPr>
  </w:style>
  <w:style w:type="paragraph" w:styleId="1015">
    <w:name w:val="彩色列表 - 着色 11"/>
    <w:basedOn w:val="939"/>
    <w:next w:val="939"/>
    <w:link w:val="939"/>
    <w:pPr>
      <w:ind w:left="0" w:firstLine="420"/>
      <w:jc w:val="both"/>
      <w:spacing w:before="0" w:after="0" w:line="240" w:lineRule="auto"/>
      <w:widowControl w:val="off"/>
    </w:pPr>
    <w:rPr>
      <w:rFonts w:ascii="Calibri" w:eastAsia="宋体"/>
      <w:caps w:val="0"/>
      <w:smallCaps w:val="0"/>
      <w:vanish w:val="0"/>
      <w:sz w:val="21"/>
    </w:rPr>
  </w:style>
  <w:style w:type="paragraph" w:styleId="1016">
    <w:name w:val="段"/>
    <w:next w:val="939"/>
    <w:link w:val="939"/>
    <w:qFormat/>
    <w:pPr>
      <w:ind w:firstLine="200"/>
      <w:jc w:val="both"/>
      <w:spacing w:line="360" w:lineRule="auto"/>
    </w:pPr>
    <w:rPr>
      <w:rFonts w:ascii="宋体"/>
      <w:sz w:val="24"/>
      <w:szCs w:val="22"/>
      <w:lang w:val="en-US" w:eastAsia="zh-CN" w:bidi="ar-SA"/>
    </w:rPr>
  </w:style>
  <w:style w:type="paragraph" w:styleId="1017">
    <w:name w:val="列表内容"/>
    <w:basedOn w:val="939"/>
    <w:next w:val="939"/>
    <w:link w:val="939"/>
    <w:pPr>
      <w:ind w:left="840" w:hanging="420"/>
      <w:jc w:val="both"/>
      <w:spacing w:before="0" w:after="0" w:line="240" w:lineRule="auto"/>
      <w:widowControl/>
    </w:pPr>
    <w:rPr>
      <w:rFonts w:ascii="Times New Roman" w:eastAsia="宋体"/>
      <w:caps w:val="0"/>
      <w:smallCaps w:val="0"/>
      <w:vanish w:val="0"/>
      <w:sz w:val="18"/>
    </w:rPr>
  </w:style>
  <w:style w:type="paragraph" w:styleId="1018">
    <w:name w:val="Plain Text"/>
    <w:basedOn w:val="939"/>
    <w:next w:val="939"/>
    <w:link w:val="939"/>
    <w:pPr>
      <w:ind w:left="0" w:firstLine="0"/>
      <w:jc w:val="both"/>
      <w:spacing w:before="0" w:after="0" w:line="240" w:lineRule="auto"/>
      <w:widowControl w:val="off"/>
    </w:pPr>
    <w:rPr>
      <w:rFonts w:ascii="宋体" w:eastAsia="楷体_GB2312"/>
      <w:caps w:val="0"/>
      <w:smallCaps w:val="0"/>
      <w:vanish w:val="0"/>
      <w:sz w:val="28"/>
    </w:rPr>
  </w:style>
  <w:style w:type="paragraph" w:styleId="1019">
    <w:name w:val=" Char"/>
    <w:basedOn w:val="939"/>
    <w:next w:val="939"/>
    <w:link w:val="939"/>
    <w:pPr>
      <w:ind w:left="960" w:hanging="420"/>
      <w:jc w:val="both"/>
      <w:spacing w:before="0" w:after="0" w:line="240" w:lineRule="auto"/>
      <w:widowControl w:val="off"/>
    </w:pPr>
    <w:rPr>
      <w:rFonts w:ascii="Times New Roman" w:eastAsia="宋体"/>
      <w:caps w:val="0"/>
      <w:smallCaps w:val="0"/>
      <w:vanish w:val="0"/>
      <w:sz w:val="24"/>
    </w:rPr>
  </w:style>
  <w:style w:type="paragraph" w:styleId="1020">
    <w:name w:val="首行缩进"/>
    <w:basedOn w:val="939"/>
    <w:next w:val="1020"/>
    <w:link w:val="939"/>
    <w:qFormat/>
    <w:pPr>
      <w:ind w:firstLine="480"/>
    </w:pPr>
    <w:rPr>
      <w:szCs w:val="20"/>
      <w:lang w:val="zh-CN"/>
    </w:rPr>
  </w:style>
  <w:style w:type="paragraph" w:styleId="1021">
    <w:name w:val="+正文"/>
    <w:basedOn w:val="939"/>
    <w:next w:val="1021"/>
    <w:link w:val="939"/>
    <w:qFormat/>
    <w:pPr>
      <w:ind w:firstLine="200"/>
      <w:spacing w:line="360" w:lineRule="auto"/>
    </w:pPr>
    <w:rPr>
      <w:rFonts w:ascii="Calibri" w:hAnsi="Calibri" w:eastAsia="宋体"/>
      <w:sz w:val="24"/>
    </w:rPr>
  </w:style>
  <w:style w:type="paragraph" w:styleId="1022">
    <w:name w:val="Default"/>
    <w:next w:val="939"/>
    <w:link w:val="939"/>
    <w:pPr>
      <w:widowControl w:val="off"/>
    </w:pPr>
    <w:rPr>
      <w:color w:val="000000"/>
      <w:sz w:val="24"/>
      <w:lang w:val="en-US" w:eastAsia="zh-CN" w:bidi="ar-SA"/>
    </w:rPr>
  </w:style>
  <w:style w:type="paragraph" w:styleId="1023">
    <w:name w:val="Char Char Char Char Char Char Char Char Char1 Char"/>
    <w:next w:val="954"/>
    <w:link w:val="939"/>
    <w:pPr>
      <w:jc w:val="both"/>
      <w:spacing w:line="360" w:lineRule="auto"/>
      <w:shd w:val="clear" w:color="000000" w:fill="000080"/>
      <w:widowControl w:val="off"/>
    </w:pPr>
    <w:rPr>
      <w:sz w:val="21"/>
      <w:lang w:val="en-US" w:eastAsia="zh-CN" w:bidi="ar-SA"/>
    </w:rPr>
  </w:style>
  <w:style w:type="paragraph" w:styleId="1024">
    <w:name w:val="目录 61"/>
    <w:next w:val="939"/>
    <w:link w:val="939"/>
    <w:pPr>
      <w:ind w:left="1700"/>
      <w:jc w:val="both"/>
    </w:pPr>
    <w:rPr>
      <w:sz w:val="21"/>
      <w:lang w:val="en-US" w:eastAsia="zh-CN" w:bidi="ar-SA"/>
    </w:rPr>
  </w:style>
  <w:style w:type="paragraph" w:styleId="1025">
    <w:name w:val="p0"/>
    <w:basedOn w:val="939"/>
    <w:next w:val="973"/>
    <w:link w:val="939"/>
    <w:pPr>
      <w:ind w:left="0" w:firstLine="0"/>
      <w:jc w:val="both"/>
      <w:spacing w:before="0" w:after="0" w:line="240" w:lineRule="auto"/>
      <w:widowControl/>
    </w:pPr>
    <w:rPr>
      <w:rFonts w:ascii="Times New Roman" w:eastAsia="宋体"/>
      <w:caps w:val="0"/>
      <w:smallCaps w:val="0"/>
      <w:vanish w:val="0"/>
      <w:sz w:val="26"/>
    </w:rPr>
  </w:style>
  <w:style w:type="paragraph" w:styleId="1026">
    <w:name w:val="规范正文"/>
    <w:basedOn w:val="939"/>
    <w:next w:val="1027"/>
    <w:link w:val="939"/>
    <w:pPr>
      <w:ind w:left="480" w:firstLine="0"/>
      <w:jc w:val="both"/>
      <w:spacing w:before="0" w:after="0" w:line="360" w:lineRule="auto"/>
      <w:widowControl w:val="off"/>
    </w:pPr>
    <w:rPr>
      <w:rFonts w:ascii="Times New Roman" w:eastAsia="宋体"/>
      <w:caps w:val="0"/>
      <w:smallCaps w:val="0"/>
      <w:vanish w:val="0"/>
      <w:sz w:val="24"/>
    </w:rPr>
  </w:style>
  <w:style w:type="paragraph" w:styleId="1027">
    <w:name w:val="TOC 标题1"/>
    <w:next w:val="939"/>
    <w:link w:val="939"/>
    <w:qFormat/>
    <w:rPr>
      <w:sz w:val="32"/>
      <w:lang w:val="en-US" w:eastAsia="zh-CN" w:bidi="ar-SA"/>
    </w:rPr>
  </w:style>
  <w:style w:type="paragraph" w:styleId="1028">
    <w:name w:val="默认段落字体 Para Char Char Char Char Char Char Char"/>
    <w:basedOn w:val="939"/>
    <w:next w:val="939"/>
    <w:link w:val="939"/>
    <w:pPr>
      <w:ind w:left="0" w:firstLine="0"/>
      <w:jc w:val="both"/>
      <w:spacing w:before="0" w:after="0" w:line="360" w:lineRule="auto"/>
      <w:widowControl w:val="off"/>
    </w:pPr>
    <w:rPr>
      <w:rFonts w:ascii="Tahoma" w:eastAsia="宋体"/>
      <w:caps w:val="0"/>
      <w:smallCaps w:val="0"/>
      <w:vanish w:val="0"/>
      <w:sz w:val="24"/>
    </w:rPr>
  </w:style>
  <w:style w:type="paragraph" w:styleId="1029">
    <w:name w:val="无间隔"/>
    <w:next w:val="1029"/>
    <w:link w:val="939"/>
    <w:qFormat/>
    <w:pPr>
      <w:jc w:val="both"/>
      <w:widowControl w:val="off"/>
    </w:pPr>
    <w:rPr>
      <w:sz w:val="21"/>
      <w:szCs w:val="24"/>
      <w:lang w:val="en-US" w:eastAsia="zh-CN" w:bidi="ar-SA"/>
    </w:rPr>
  </w:style>
  <w:style w:type="paragraph" w:styleId="1030">
    <w:name w:val="明显引用"/>
    <w:next w:val="939"/>
    <w:link w:val="939"/>
    <w:qFormat/>
    <w:pPr>
      <w:ind w:left="950" w:right="950"/>
      <w:jc w:val="center"/>
      <w:spacing w:before="360" w:after="360"/>
    </w:pPr>
    <w:rPr>
      <w:i/>
      <w:sz w:val="21"/>
      <w:lang w:val="en-US" w:eastAsia="zh-CN" w:bidi="ar-SA"/>
    </w:rPr>
  </w:style>
  <w:style w:type="paragraph" w:styleId="1031">
    <w:name w:val="Table Paragraph"/>
    <w:basedOn w:val="939"/>
    <w:next w:val="1031"/>
    <w:link w:val="939"/>
    <w:uiPriority w:val="1"/>
    <w:qFormat/>
    <w:pPr>
      <w:ind w:firstLine="0"/>
      <w:jc w:val="left"/>
      <w:spacing w:line="240" w:lineRule="auto"/>
    </w:pPr>
    <w:rPr>
      <w:rFonts w:eastAsia="宋体"/>
      <w:sz w:val="22"/>
      <w:lang w:eastAsia="en-US"/>
    </w:rPr>
  </w:style>
  <w:style w:type="paragraph" w:styleId="1032">
    <w:name w:val="目录 41"/>
    <w:next w:val="939"/>
    <w:link w:val="939"/>
    <w:pPr>
      <w:ind w:left="850"/>
      <w:jc w:val="both"/>
    </w:pPr>
    <w:rPr>
      <w:sz w:val="21"/>
      <w:lang w:val="en-US" w:eastAsia="zh-CN" w:bidi="ar-SA"/>
    </w:rPr>
  </w:style>
  <w:style w:type="paragraph" w:styleId="1033">
    <w:name w:val="Char Char Char"/>
    <w:basedOn w:val="939"/>
    <w:next w:val="939"/>
    <w:link w:val="939"/>
    <w:pPr>
      <w:ind w:left="0" w:firstLine="0"/>
      <w:jc w:val="both"/>
      <w:spacing w:before="0" w:after="0" w:line="240" w:lineRule="auto"/>
      <w:widowControl w:val="off"/>
    </w:pPr>
    <w:rPr>
      <w:rFonts w:ascii="Tahoma" w:eastAsia="宋体"/>
      <w:caps w:val="0"/>
      <w:smallCaps w:val="0"/>
      <w:vanish w:val="0"/>
      <w:sz w:val="24"/>
    </w:rPr>
  </w:style>
  <w:style w:type="paragraph" w:styleId="1034">
    <w:name w:val="目录 31"/>
    <w:next w:val="939"/>
    <w:link w:val="939"/>
    <w:pPr>
      <w:ind w:left="425"/>
      <w:jc w:val="both"/>
    </w:pPr>
    <w:rPr>
      <w:sz w:val="21"/>
      <w:lang w:val="en-US" w:eastAsia="zh-CN" w:bidi="ar-SA"/>
    </w:rPr>
  </w:style>
  <w:style w:type="paragraph" w:styleId="1035">
    <w:name w:val="目录 32"/>
    <w:basedOn w:val="939"/>
    <w:next w:val="939"/>
    <w:link w:val="939"/>
    <w:pPr>
      <w:ind w:left="840" w:firstLine="0"/>
      <w:jc w:val="both"/>
      <w:spacing w:before="0" w:after="0" w:line="240" w:lineRule="auto"/>
      <w:widowControl w:val="off"/>
    </w:pPr>
    <w:rPr>
      <w:rFonts w:ascii="Times New Roman" w:eastAsia="宋体"/>
      <w:caps w:val="0"/>
      <w:smallCaps w:val="0"/>
      <w:vanish w:val="0"/>
      <w:sz w:val="21"/>
    </w:rPr>
  </w:style>
  <w:style w:type="paragraph" w:styleId="1036">
    <w:name w:val="表格正文 居中"/>
    <w:basedOn w:val="939"/>
    <w:next w:val="1037"/>
    <w:link w:val="939"/>
    <w:pPr>
      <w:ind w:left="0" w:firstLine="0"/>
      <w:jc w:val="center"/>
      <w:spacing w:before="0" w:after="0" w:line="240" w:lineRule="auto"/>
      <w:widowControl w:val="off"/>
    </w:pPr>
    <w:rPr>
      <w:rFonts w:ascii="宋体" w:eastAsia="宋体"/>
      <w:caps w:val="0"/>
      <w:smallCaps w:val="0"/>
      <w:vanish w:val="0"/>
      <w:sz w:val="21"/>
    </w:rPr>
  </w:style>
  <w:style w:type="paragraph" w:styleId="1037">
    <w:name w:val="表格正文"/>
    <w:basedOn w:val="939"/>
    <w:next w:val="1034"/>
    <w:link w:val="939"/>
    <w:pPr>
      <w:ind w:left="0" w:firstLine="0"/>
      <w:jc w:val="both"/>
      <w:spacing w:before="0" w:after="0" w:line="240" w:lineRule="auto"/>
      <w:widowControl w:val="off"/>
    </w:pPr>
    <w:rPr>
      <w:rFonts w:ascii="宋体" w:eastAsia="宋体"/>
      <w:caps w:val="0"/>
      <w:smallCaps w:val="0"/>
      <w:vanish w:val="0"/>
      <w:color w:val="000000"/>
      <w:sz w:val="22"/>
    </w:rPr>
  </w:style>
  <w:style w:type="paragraph" w:styleId="1038">
    <w:name w:val=" Char Char1"/>
    <w:basedOn w:val="939"/>
    <w:next w:val="939"/>
    <w:link w:val="939"/>
    <w:pPr>
      <w:ind w:left="0" w:firstLine="0"/>
      <w:jc w:val="both"/>
      <w:spacing w:before="0" w:after="160" w:line="240" w:lineRule="exact"/>
      <w:widowControl/>
    </w:pPr>
    <w:rPr>
      <w:rFonts w:ascii="Verdana" w:eastAsia="宋体"/>
      <w:caps w:val="0"/>
      <w:smallCaps w:val="0"/>
      <w:vanish w:val="0"/>
      <w:sz w:val="20"/>
    </w:rPr>
  </w:style>
  <w:style w:type="paragraph" w:styleId="1039">
    <w:name w:val="a"/>
    <w:basedOn w:val="939"/>
    <w:next w:val="1039"/>
    <w:link w:val="939"/>
    <w:pPr>
      <w:jc w:val="left"/>
      <w:spacing w:before="100" w:beforeAutospacing="1" w:after="100" w:afterAutospacing="1"/>
      <w:widowControl/>
    </w:pPr>
    <w:rPr>
      <w:rFonts w:ascii="宋体" w:hAnsi="宋体" w:cs="宋体"/>
      <w:sz w:val="24"/>
      <w:szCs w:val="24"/>
    </w:rPr>
  </w:style>
  <w:style w:type="paragraph" w:styleId="1040">
    <w:name w:val=" Char Char4 Char Char"/>
    <w:basedOn w:val="939"/>
    <w:next w:val="939"/>
    <w:link w:val="939"/>
    <w:pPr>
      <w:ind w:left="0" w:firstLine="0"/>
      <w:jc w:val="both"/>
      <w:spacing w:before="0" w:after="0" w:line="240" w:lineRule="auto"/>
      <w:widowControl w:val="off"/>
    </w:pPr>
    <w:rPr>
      <w:rFonts w:ascii="Tahoma" w:eastAsia="宋体"/>
      <w:caps w:val="0"/>
      <w:smallCaps w:val="0"/>
      <w:vanish w:val="0"/>
      <w:sz w:val="24"/>
    </w:rPr>
  </w:style>
  <w:style w:type="paragraph" w:styleId="1041">
    <w:name w:val="正文 A"/>
    <w:next w:val="1041"/>
    <w:link w:val="939"/>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42">
    <w:name w:val="列出段落"/>
    <w:basedOn w:val="939"/>
    <w:next w:val="1042"/>
    <w:link w:val="939"/>
    <w:uiPriority w:val="34"/>
    <w:qFormat/>
    <w:pPr>
      <w:ind w:left="0" w:firstLine="420"/>
      <w:jc w:val="both"/>
      <w:spacing w:before="0" w:after="0" w:line="360" w:lineRule="auto"/>
      <w:widowControl w:val="off"/>
    </w:pPr>
    <w:rPr>
      <w:rFonts w:ascii="Times New Roman" w:eastAsia="宋体"/>
      <w:caps w:val="0"/>
      <w:smallCaps w:val="0"/>
      <w:vanish w:val="0"/>
      <w:sz w:val="21"/>
    </w:rPr>
  </w:style>
  <w:style w:type="paragraph" w:styleId="1043">
    <w:name w:val="表格标题"/>
    <w:basedOn w:val="939"/>
    <w:next w:val="1026"/>
    <w:link w:val="939"/>
    <w:pPr>
      <w:ind w:left="0" w:firstLine="0"/>
      <w:jc w:val="center"/>
      <w:spacing w:before="0" w:after="0" w:line="240" w:lineRule="auto"/>
      <w:widowControl w:val="off"/>
    </w:pPr>
    <w:rPr>
      <w:rFonts w:ascii="宋体" w:eastAsia="宋体"/>
      <w:b/>
      <w:caps w:val="0"/>
      <w:smallCaps w:val="0"/>
      <w:vanish w:val="0"/>
      <w:sz w:val="21"/>
    </w:rPr>
  </w:style>
  <w:style w:type="paragraph" w:styleId="1044">
    <w:name w:val="Andy_正文"/>
    <w:basedOn w:val="939"/>
    <w:next w:val="967"/>
    <w:link w:val="939"/>
    <w:qFormat/>
    <w:pPr>
      <w:ind w:left="0" w:firstLine="480"/>
      <w:jc w:val="both"/>
      <w:spacing w:before="0" w:after="0" w:line="360" w:lineRule="auto"/>
      <w:widowControl w:val="off"/>
    </w:pPr>
    <w:rPr>
      <w:rFonts w:ascii="Calibri" w:eastAsia="宋体"/>
      <w:caps w:val="0"/>
      <w:smallCaps w:val="0"/>
      <w:vanish w:val="0"/>
      <w:sz w:val="24"/>
    </w:rPr>
  </w:style>
  <w:style w:type="paragraph" w:styleId="1045">
    <w:name w:val="TOC 标题"/>
    <w:next w:val="939"/>
    <w:link w:val="939"/>
    <w:qFormat/>
    <w:rPr>
      <w:sz w:val="32"/>
      <w:lang w:val="en-US" w:eastAsia="zh-CN" w:bidi="ar-SA"/>
    </w:rPr>
  </w:style>
  <w:style w:type="paragraph" w:styleId="1046">
    <w:name w:val="表格1"/>
    <w:basedOn w:val="939"/>
    <w:next w:val="939"/>
    <w:link w:val="939"/>
    <w:pPr>
      <w:ind w:left="0" w:firstLine="0"/>
      <w:jc w:val="center"/>
      <w:spacing w:before="0" w:after="0" w:line="288" w:lineRule="auto"/>
      <w:widowControl w:val="off"/>
    </w:pPr>
    <w:rPr>
      <w:rFonts w:ascii="宋体" w:eastAsia="宋体"/>
      <w:caps w:val="0"/>
      <w:smallCaps w:val="0"/>
      <w:vanish w:val="0"/>
      <w:sz w:val="18"/>
    </w:rPr>
  </w:style>
  <w:style w:type="paragraph" w:styleId="1047">
    <w:name w:val="Char"/>
    <w:basedOn w:val="939"/>
    <w:next w:val="1035"/>
    <w:link w:val="939"/>
    <w:pPr>
      <w:ind w:left="0" w:firstLine="0"/>
      <w:jc w:val="both"/>
      <w:spacing w:before="0" w:after="0" w:line="240" w:lineRule="auto"/>
      <w:widowControl w:val="off"/>
    </w:pPr>
    <w:rPr>
      <w:rFonts w:ascii="Tahoma" w:eastAsia="宋体"/>
      <w:caps w:val="0"/>
      <w:smallCaps w:val="0"/>
      <w:vanish w:val="0"/>
      <w:sz w:val="24"/>
    </w:rPr>
  </w:style>
  <w:style w:type="paragraph" w:styleId="1048">
    <w:name w:val="引用"/>
    <w:next w:val="939"/>
    <w:link w:val="939"/>
    <w:qFormat/>
    <w:pPr>
      <w:ind w:left="864" w:right="864"/>
      <w:jc w:val="center"/>
      <w:spacing w:before="200" w:after="160"/>
    </w:pPr>
    <w:rPr>
      <w:i/>
      <w:sz w:val="21"/>
      <w:lang w:val="en-US" w:eastAsia="zh-CN" w:bidi="ar-SA"/>
    </w:rPr>
  </w:style>
  <w:style w:type="paragraph" w:styleId="1049">
    <w:name w:val="QB正文"/>
    <w:basedOn w:val="939"/>
    <w:next w:val="953"/>
    <w:link w:val="939"/>
    <w:pPr>
      <w:ind w:left="0" w:firstLine="200"/>
      <w:jc w:val="both"/>
      <w:spacing w:before="0" w:after="0" w:line="240" w:lineRule="auto"/>
      <w:widowControl/>
    </w:pPr>
    <w:rPr>
      <w:rFonts w:ascii="宋体" w:eastAsia="宋体"/>
      <w:caps w:val="0"/>
      <w:smallCaps w:val="0"/>
      <w:vanish w:val="0"/>
      <w:sz w:val="21"/>
    </w:rPr>
  </w:style>
  <w:style w:type="paragraph" w:styleId="1050">
    <w:name w:val="目录 22"/>
    <w:basedOn w:val="939"/>
    <w:next w:val="939"/>
    <w:link w:val="939"/>
    <w:pPr>
      <w:ind w:left="420" w:firstLine="0"/>
      <w:jc w:val="both"/>
      <w:spacing w:before="0" w:after="0" w:line="400" w:lineRule="exact"/>
      <w:widowControl w:val="off"/>
    </w:pPr>
    <w:rPr>
      <w:rFonts w:ascii="Times New Roman" w:eastAsia="宋体"/>
      <w:b/>
      <w:caps w:val="0"/>
      <w:smallCaps w:val="0"/>
      <w:vanish w:val="0"/>
      <w:sz w:val="24"/>
    </w:rPr>
  </w:style>
  <w:style w:type="paragraph" w:styleId="1051">
    <w:name w:val="列出段落1"/>
    <w:basedOn w:val="939"/>
    <w:next w:val="957"/>
    <w:link w:val="939"/>
    <w:pPr>
      <w:ind w:left="0" w:firstLine="200"/>
      <w:jc w:val="both"/>
      <w:spacing w:before="0" w:after="0" w:line="360" w:lineRule="auto"/>
      <w:widowControl w:val="off"/>
    </w:pPr>
    <w:rPr>
      <w:rFonts w:ascii="Calibri" w:eastAsia="宋体"/>
      <w:caps w:val="0"/>
      <w:smallCaps w:val="0"/>
      <w:vanish w:val="0"/>
      <w:sz w:val="22"/>
    </w:rPr>
  </w:style>
  <w:style w:type="paragraph" w:styleId="1052">
    <w:name w:val="_Style 18"/>
    <w:basedOn w:val="939"/>
    <w:next w:val="939"/>
    <w:link w:val="939"/>
    <w:pPr>
      <w:ind w:left="0" w:firstLine="0"/>
      <w:jc w:val="both"/>
      <w:spacing w:before="0" w:after="0" w:line="240" w:lineRule="auto"/>
      <w:widowControl w:val="off"/>
    </w:pPr>
    <w:rPr>
      <w:rFonts w:ascii="Tahoma" w:eastAsia="宋体"/>
      <w:caps w:val="0"/>
      <w:smallCaps w:val="0"/>
      <w:vanish w:val="0"/>
      <w:sz w:val="24"/>
    </w:rPr>
  </w:style>
  <w:style w:type="paragraph" w:styleId="1053">
    <w:name w:val="纯文本1"/>
    <w:basedOn w:val="939"/>
    <w:next w:val="1053"/>
    <w:link w:val="939"/>
    <w:qFormat/>
    <w:rPr>
      <w:rFonts w:ascii="宋体" w:hAnsi="Courier New"/>
    </w:rPr>
  </w:style>
  <w:style w:type="paragraph" w:styleId="1054">
    <w:name w:val="_正文段落"/>
    <w:basedOn w:val="939"/>
    <w:next w:val="969"/>
    <w:link w:val="939"/>
    <w:pPr>
      <w:ind w:left="0" w:firstLine="200"/>
      <w:jc w:val="both"/>
      <w:spacing w:before="50" w:after="50" w:line="360" w:lineRule="auto"/>
      <w:widowControl w:val="off"/>
    </w:pPr>
    <w:rPr>
      <w:rFonts w:ascii="Times New Roman" w:eastAsia="宋体"/>
      <w:caps w:val="0"/>
      <w:smallCaps w:val="0"/>
      <w:vanish w:val="0"/>
      <w:sz w:val="24"/>
    </w:rPr>
  </w:style>
  <w:style w:type="paragraph" w:styleId="1055">
    <w:name w:val="List Paragraph"/>
    <w:basedOn w:val="939"/>
    <w:next w:val="939"/>
    <w:link w:val="939"/>
    <w:pPr>
      <w:ind w:left="0" w:firstLine="420"/>
      <w:jc w:val="both"/>
      <w:spacing w:before="0" w:after="0" w:line="240" w:lineRule="auto"/>
      <w:widowControl w:val="off"/>
    </w:pPr>
    <w:rPr>
      <w:rFonts w:ascii="Calibri" w:eastAsia="宋体"/>
      <w:caps w:val="0"/>
      <w:smallCaps w:val="0"/>
      <w:vanish w:val="0"/>
      <w:sz w:val="21"/>
    </w:rPr>
  </w:style>
  <w:style w:type="paragraph" w:styleId="1056">
    <w:name w:val="目录 81"/>
    <w:next w:val="939"/>
    <w:link w:val="939"/>
    <w:pPr>
      <w:ind w:left="2550"/>
      <w:jc w:val="both"/>
    </w:pPr>
    <w:rPr>
      <w:sz w:val="21"/>
      <w:lang w:val="en-US" w:eastAsia="zh-CN" w:bidi="ar-SA"/>
    </w:rPr>
  </w:style>
  <w:style w:type="table" w:styleId="1057">
    <w:name w:val="Table Normal"/>
    <w:next w:val="1057"/>
    <w:link w:val="939"/>
    <w:uiPriority w:val="2"/>
    <w:unhideWhenUsed/>
    <w:qFormat/>
    <w:pPr>
      <w:widowControl w:val="off"/>
    </w:pPr>
    <w:rPr>
      <w:sz w:val="22"/>
      <w:lang w:val="en-US" w:eastAsia="en-US" w:bidi="ar-SA"/>
    </w:rPr>
    <w:tblPr/>
  </w:style>
  <w:style w:type="paragraph" w:styleId="1058">
    <w:name w:val="修订"/>
    <w:next w:val="1058"/>
    <w:link w:val="939"/>
    <w:uiPriority w:val="99"/>
    <w:unhideWhenUsed/>
    <w:rPr>
      <w:sz w:val="21"/>
      <w:lang w:val="en-US" w:eastAsia="zh-CN" w:bidi="ar-SA"/>
    </w:rPr>
  </w:style>
  <w:style w:type="character" w:styleId="1059">
    <w:name w:val="tree-title3"/>
    <w:next w:val="1059"/>
    <w:link w:val="939"/>
  </w:style>
  <w:style w:type="paragraph" w:styleId="1060">
    <w:name w:val="正文文本缩进11"/>
    <w:basedOn w:val="939"/>
    <w:next w:val="1060"/>
    <w:link w:val="939"/>
    <w:unhideWhenUsed/>
    <w:qFormat/>
    <w:pPr>
      <w:ind w:left="420"/>
      <w:spacing w:after="120"/>
    </w:pPr>
  </w:style>
  <w:style w:type="table" w:styleId="1061">
    <w:name w:val="网格型1"/>
    <w:basedOn w:val="1062"/>
    <w:next w:val="1061"/>
    <w:link w:val="939"/>
    <w:qFormat/>
    <w:pPr>
      <w:jc w:val="both"/>
      <w:widowControl w:val="off"/>
    </w:pPr>
    <w:tblPr/>
  </w:style>
  <w:style w:type="table" w:styleId="1062">
    <w:name w:val="普通表格1"/>
    <w:next w:val="1062"/>
    <w:link w:val="939"/>
    <w:uiPriority w:val="99"/>
    <w:unhideWhenUsed/>
    <w:qFormat/>
    <w:rPr>
      <w:lang w:val="en-US" w:eastAsia="zh-CN" w:bidi="ar-SA"/>
    </w:rPr>
    <w:tblPr/>
  </w:style>
  <w:style w:type="paragraph" w:styleId="1063">
    <w:name w:val="Style1"/>
    <w:basedOn w:val="939"/>
    <w:next w:val="1063"/>
    <w:link w:val="939"/>
    <w:qFormat/>
    <w:pPr>
      <w:ind w:left="0"/>
      <w:tabs>
        <w:tab w:val="left" w:pos="-720" w:leader="none"/>
      </w:tabs>
    </w:pPr>
    <w:rPr>
      <w:rFonts w:ascii="Times New Roman" w:hAnsi="Times New Roman" w:cs="Times New Roman"/>
      <w:spacing w:val="-3"/>
      <w:sz w:val="24"/>
      <w:szCs w:val="24"/>
      <w:lang w:val="en-AU" w:eastAsia="en-US"/>
    </w:rPr>
  </w:style>
  <w:style w:type="paragraph" w:styleId="1064">
    <w:name w:val="_Style 111"/>
    <w:basedOn w:val="939"/>
    <w:next w:val="1042"/>
    <w:link w:val="939"/>
    <w:uiPriority w:val="34"/>
    <w:qFormat/>
    <w:pPr>
      <w:ind w:firstLine="420"/>
    </w:pPr>
    <w:rPr>
      <w:szCs w:val="24"/>
    </w:rPr>
  </w:style>
  <w:style w:type="paragraph" w:styleId="1065">
    <w:name w:val="正文缩进111"/>
    <w:basedOn w:val="939"/>
    <w:next w:val="939"/>
    <w:link w:val="939"/>
    <w:qFormat/>
    <w:pPr>
      <w:ind w:firstLine="420"/>
      <w:jc w:val="left"/>
    </w:pPr>
    <w:rPr>
      <w:sz w:val="24"/>
    </w:rPr>
  </w:style>
  <w:style w:type="paragraph" w:styleId="1066">
    <w:name w:val="正文文本缩进1"/>
    <w:basedOn w:val="939"/>
    <w:next w:val="939"/>
    <w:link w:val="939"/>
    <w:qFormat/>
    <w:pPr>
      <w:ind w:firstLine="560"/>
      <w:spacing w:line="300" w:lineRule="auto"/>
    </w:pPr>
    <w:rPr>
      <w:sz w:val="28"/>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苏州海企国际工</dc:creator>
  <cp:lastModifiedBy>王雅</cp:lastModifiedBy>
  <cp:revision>7</cp:revision>
  <dcterms:created xsi:type="dcterms:W3CDTF">2025-12-04T09:48:00Z</dcterms:created>
  <dcterms:modified xsi:type="dcterms:W3CDTF">2025-12-22T06:01:21Z</dcterms:modified>
</cp:coreProperties>
</file>